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1A386" w14:textId="2DA604B2" w:rsidR="007E7B7C" w:rsidRDefault="000251B2" w:rsidP="00853937">
      <w:pPr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903AB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GRADSKA KNJIŽNICA SVETI IVAN ZELINA</w:t>
      </w:r>
      <w:r w:rsidR="008539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</w:t>
      </w:r>
      <w:r w:rsidR="007E7B7C"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>Trg Ante Starčevića 1</w:t>
      </w:r>
      <w:r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>2</w:t>
      </w:r>
      <w:r w:rsidR="00853937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               </w:t>
      </w:r>
      <w:r w:rsidR="007E7B7C"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>10380 Sveti Ivan Zelina</w:t>
      </w:r>
      <w:r w:rsidR="00853937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                                                                                                                         </w:t>
      </w:r>
      <w:r w:rsidR="007E7B7C" w:rsidRPr="0085393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 xml:space="preserve">OIB: </w:t>
      </w:r>
      <w:r w:rsidRPr="00853937">
        <w:rPr>
          <w:rFonts w:ascii="Arial" w:hAnsi="Arial" w:cs="Arial"/>
          <w:bCs/>
          <w:kern w:val="2"/>
          <w:sz w:val="20"/>
          <w:szCs w:val="20"/>
          <w14:ligatures w14:val="standardContextual"/>
        </w:rPr>
        <w:t>92149860912</w:t>
      </w:r>
    </w:p>
    <w:p w14:paraId="58BFCB45" w14:textId="6DFF7B1C" w:rsidR="00F76C74" w:rsidRPr="00D903AB" w:rsidRDefault="00F76C74" w:rsidP="00F76C74">
      <w:pPr>
        <w:spacing w:after="0"/>
        <w:ind w:left="-567" w:firstLine="56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903AB">
        <w:rPr>
          <w:rFonts w:ascii="Arial" w:hAnsi="Arial" w:cs="Arial"/>
          <w:bCs/>
          <w:sz w:val="20"/>
          <w:szCs w:val="20"/>
        </w:rPr>
        <w:t>KLASA:</w:t>
      </w:r>
      <w:r w:rsidR="00853937">
        <w:rPr>
          <w:rFonts w:ascii="Arial" w:hAnsi="Arial" w:cs="Arial"/>
          <w:bCs/>
          <w:sz w:val="20"/>
          <w:szCs w:val="20"/>
        </w:rPr>
        <w:t>400-02/24-01/01</w:t>
      </w:r>
    </w:p>
    <w:p w14:paraId="50E5F47A" w14:textId="19A4D557" w:rsidR="00F76C74" w:rsidRPr="00D903AB" w:rsidRDefault="00F76C74" w:rsidP="00F76C74">
      <w:pPr>
        <w:spacing w:after="0"/>
        <w:ind w:left="-567" w:firstLine="56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903AB">
        <w:rPr>
          <w:rFonts w:ascii="Arial" w:hAnsi="Arial" w:cs="Arial"/>
          <w:bCs/>
          <w:sz w:val="20"/>
          <w:szCs w:val="20"/>
        </w:rPr>
        <w:t>URBROJ:</w:t>
      </w:r>
      <w:r w:rsidR="00853937">
        <w:rPr>
          <w:rFonts w:ascii="Arial" w:hAnsi="Arial" w:cs="Arial"/>
          <w:bCs/>
          <w:sz w:val="20"/>
          <w:szCs w:val="20"/>
        </w:rPr>
        <w:t>238-30-134-01-24-03</w:t>
      </w:r>
    </w:p>
    <w:p w14:paraId="20E0C111" w14:textId="77777777" w:rsidR="00F76C74" w:rsidRPr="00D903AB" w:rsidRDefault="00F76C74" w:rsidP="00F76C74">
      <w:pPr>
        <w:spacing w:after="0"/>
        <w:ind w:left="-567" w:firstLine="567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903AB">
        <w:rPr>
          <w:rFonts w:ascii="Arial" w:hAnsi="Arial" w:cs="Arial"/>
          <w:bCs/>
          <w:sz w:val="20"/>
          <w:szCs w:val="20"/>
        </w:rPr>
        <w:t>Sveti Ivan Zelina, 01.</w:t>
      </w:r>
      <w:r>
        <w:rPr>
          <w:rFonts w:ascii="Arial" w:hAnsi="Arial" w:cs="Arial"/>
          <w:bCs/>
          <w:sz w:val="20"/>
          <w:szCs w:val="20"/>
        </w:rPr>
        <w:t xml:space="preserve"> rujna </w:t>
      </w:r>
      <w:r w:rsidRPr="00D903AB">
        <w:rPr>
          <w:rFonts w:ascii="Arial" w:hAnsi="Arial" w:cs="Arial"/>
          <w:bCs/>
          <w:sz w:val="20"/>
          <w:szCs w:val="20"/>
        </w:rPr>
        <w:t>2025.</w:t>
      </w:r>
    </w:p>
    <w:p w14:paraId="3C3502F8" w14:textId="77777777" w:rsidR="00F76C74" w:rsidRDefault="00F76C74" w:rsidP="007E7B7C">
      <w:pP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8666F34" w14:textId="77777777" w:rsidR="00F76C74" w:rsidRPr="00D903AB" w:rsidRDefault="00F76C74" w:rsidP="007E7B7C">
      <w:pPr>
        <w:spacing w:after="0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ECB3BD8" w14:textId="77777777" w:rsidR="007E7B7C" w:rsidRPr="00D903AB" w:rsidRDefault="007E7B7C" w:rsidP="007E7B7C">
      <w:pP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05C3CA74" w14:textId="77777777" w:rsidR="007E7B7C" w:rsidRPr="00D903AB" w:rsidRDefault="007E7B7C" w:rsidP="007E7B7C">
      <w:pP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433A76B8" w14:textId="47B21BEE" w:rsidR="007E7B7C" w:rsidRPr="00D903AB" w:rsidRDefault="007E7B7C" w:rsidP="007E7B7C">
      <w:pP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Na temelju članka 46. Zakona o proračunu („Narodne novine“, br. 144/21) </w:t>
      </w:r>
      <w:r w:rsidR="00D903AB"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>Gradska knjižnica</w:t>
      </w:r>
      <w:r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Sveti Ivan Zelina donosi</w:t>
      </w:r>
    </w:p>
    <w:p w14:paraId="3DA7840E" w14:textId="77777777" w:rsidR="007E7B7C" w:rsidRPr="00D903AB" w:rsidRDefault="007E7B7C" w:rsidP="00BC53A0">
      <w:pPr>
        <w:rPr>
          <w:rFonts w:ascii="Arial" w:hAnsi="Arial" w:cs="Arial"/>
          <w:b/>
          <w:bCs/>
          <w:sz w:val="20"/>
          <w:szCs w:val="20"/>
        </w:rPr>
      </w:pPr>
    </w:p>
    <w:p w14:paraId="4061A4E4" w14:textId="0792CF7E" w:rsidR="007E7B7C" w:rsidRDefault="007E7B7C" w:rsidP="007E7B7C">
      <w:pPr>
        <w:spacing w:after="0"/>
        <w:jc w:val="center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903AB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I.</w:t>
      </w:r>
      <w:r w:rsidR="00C7507D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Pr="00D903AB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IZMJENE I DOPUNE FINANCIJSKOG PLANA ZA 202</w:t>
      </w:r>
      <w:r w:rsidR="00A74791" w:rsidRPr="00D903AB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5</w:t>
      </w:r>
      <w:r w:rsidRPr="00D903AB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. GODINU</w:t>
      </w:r>
    </w:p>
    <w:p w14:paraId="2197521D" w14:textId="77777777" w:rsidR="001A3089" w:rsidRPr="00D903AB" w:rsidRDefault="001A3089" w:rsidP="007E7B7C">
      <w:pPr>
        <w:spacing w:after="0"/>
        <w:jc w:val="center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CFF9119" w14:textId="77777777" w:rsidR="007E7B7C" w:rsidRPr="00D903AB" w:rsidRDefault="007E7B7C" w:rsidP="007E7B7C">
      <w:pPr>
        <w:spacing w:after="0"/>
        <w:ind w:left="3204" w:firstLine="336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736E56DA" w14:textId="58D105DE" w:rsidR="007E7B7C" w:rsidRPr="00D903AB" w:rsidRDefault="007E7B7C" w:rsidP="007E7B7C">
      <w:pP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Financijski plan </w:t>
      </w:r>
      <w:r w:rsidR="00D903AB"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>Gradske knjižnice</w:t>
      </w:r>
      <w:r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za 2025. mijenja se i glasi:</w:t>
      </w:r>
    </w:p>
    <w:p w14:paraId="6B06E340" w14:textId="77777777" w:rsidR="007E7B7C" w:rsidRPr="00D903AB" w:rsidRDefault="007E7B7C" w:rsidP="007E7B7C">
      <w:pP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02490A69" w14:textId="77777777" w:rsidR="007E7B7C" w:rsidRPr="00D903AB" w:rsidRDefault="007E7B7C" w:rsidP="007E7B7C">
      <w:pPr>
        <w:spacing w:after="0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472110DF" w14:textId="77777777" w:rsidR="007E7B7C" w:rsidRDefault="007E7B7C" w:rsidP="007E7B7C">
      <w:pPr>
        <w:spacing w:after="0"/>
        <w:ind w:left="3204" w:firstLine="336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bookmarkStart w:id="0" w:name="_Hlk209166791"/>
      <w:r w:rsidRPr="00D903AB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I.OPĆI DIO</w:t>
      </w:r>
    </w:p>
    <w:p w14:paraId="68D4F7FC" w14:textId="77777777" w:rsidR="001A3089" w:rsidRPr="00D903AB" w:rsidRDefault="001A3089" w:rsidP="007E7B7C">
      <w:pPr>
        <w:spacing w:after="0"/>
        <w:ind w:left="3204" w:firstLine="336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bookmarkEnd w:id="0"/>
    <w:p w14:paraId="5A9113BA" w14:textId="77777777" w:rsidR="007E7B7C" w:rsidRPr="00D903AB" w:rsidRDefault="007E7B7C" w:rsidP="007E7B7C">
      <w:pPr>
        <w:spacing w:after="0"/>
        <w:ind w:left="3204" w:firstLine="336"/>
        <w:contextualSpacing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3C5AFB16" w14:textId="1BF47EB6" w:rsidR="00AA2C56" w:rsidRDefault="007E7B7C" w:rsidP="00AA2C56">
      <w:pPr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903AB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SAŽETAK RAČUNA PRIHODA I RASHODA  I RAČUNA FINANCIRANJA</w:t>
      </w:r>
    </w:p>
    <w:p w14:paraId="786517C5" w14:textId="77777777" w:rsidR="007F5907" w:rsidRPr="00D903AB" w:rsidRDefault="007F5907" w:rsidP="007F5907">
      <w:pPr>
        <w:spacing w:after="0"/>
        <w:ind w:left="405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661BABF" w14:textId="77777777" w:rsidR="00AA2C56" w:rsidRPr="00D903AB" w:rsidRDefault="00AA2C56" w:rsidP="00AA2C56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17"/>
        <w:gridCol w:w="4040"/>
        <w:gridCol w:w="1313"/>
        <w:gridCol w:w="1377"/>
        <w:gridCol w:w="1242"/>
        <w:gridCol w:w="1209"/>
      </w:tblGrid>
      <w:tr w:rsidR="007A7812" w:rsidRPr="007A7812" w14:paraId="467A82A5" w14:textId="77777777" w:rsidTr="007A7812">
        <w:trPr>
          <w:trHeight w:val="48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137D2EB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A32F60" w14:textId="40E6E477" w:rsidR="007A7812" w:rsidRPr="007A7812" w:rsidRDefault="007A7812" w:rsidP="007A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5D63F1" w14:textId="77777777" w:rsidR="007A7812" w:rsidRPr="007A7812" w:rsidRDefault="007A7812" w:rsidP="007A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 2025.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D019B3" w14:textId="77777777" w:rsidR="007A7812" w:rsidRPr="007A7812" w:rsidRDefault="007A7812" w:rsidP="007A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7A78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76B953" w14:textId="77777777" w:rsidR="007A7812" w:rsidRPr="007A7812" w:rsidRDefault="007A7812" w:rsidP="007A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 %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B08211" w14:textId="77777777" w:rsidR="007A7812" w:rsidRPr="007A7812" w:rsidRDefault="007A7812" w:rsidP="007A7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7A7812" w:rsidRPr="007A7812" w14:paraId="0A1DAC18" w14:textId="77777777" w:rsidTr="007A7812">
        <w:trPr>
          <w:trHeight w:val="240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F2BDD2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68FEE0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A06AC33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08C551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4869563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7A7812" w:rsidRPr="007A7812" w14:paraId="1AD0FAFD" w14:textId="77777777" w:rsidTr="007A7812">
        <w:trPr>
          <w:trHeight w:val="2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FE1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0E632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BC45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6E13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-16.038,01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7B8F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-9,29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00AE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156.641,99</w:t>
            </w:r>
          </w:p>
        </w:tc>
      </w:tr>
      <w:tr w:rsidR="007A7812" w:rsidRPr="007A7812" w14:paraId="26330653" w14:textId="77777777" w:rsidTr="007A7812">
        <w:trPr>
          <w:trHeight w:val="2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856A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0149D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B475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DC26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6A02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9E27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A7812" w:rsidRPr="007A7812" w14:paraId="611C1975" w14:textId="77777777" w:rsidTr="007A7812">
        <w:trPr>
          <w:trHeight w:val="2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74EC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0423F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53C9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145.980,00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2B3F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-15.460,00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F8EF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-10,59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DC25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130.520,00</w:t>
            </w:r>
          </w:p>
        </w:tc>
      </w:tr>
      <w:tr w:rsidR="007A7812" w:rsidRPr="007A7812" w14:paraId="49B9D49A" w14:textId="77777777" w:rsidTr="007A7812">
        <w:trPr>
          <w:trHeight w:val="2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892E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05DDD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AAF3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26.700,00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E095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466,00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5F5C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1,75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4536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27.166,00</w:t>
            </w:r>
          </w:p>
        </w:tc>
      </w:tr>
      <w:tr w:rsidR="007A7812" w:rsidRPr="007A7812" w14:paraId="599BEE95" w14:textId="77777777" w:rsidTr="007A7812">
        <w:trPr>
          <w:trHeight w:val="2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E352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A6B6A8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F3DE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6543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-1.044,01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9E78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4759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-1.044,01</w:t>
            </w:r>
          </w:p>
        </w:tc>
      </w:tr>
      <w:tr w:rsidR="007A7812" w:rsidRPr="007A7812" w14:paraId="70603597" w14:textId="77777777" w:rsidTr="007A7812">
        <w:trPr>
          <w:trHeight w:val="240"/>
        </w:trPr>
        <w:tc>
          <w:tcPr>
            <w:tcW w:w="4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1CAE62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ZADUŽIVANJA/FINANCIRANJA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D5AC0CA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A2E165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ADBBA1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003E475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7A7812" w:rsidRPr="007A7812" w14:paraId="0643734A" w14:textId="77777777" w:rsidTr="007A7812">
        <w:trPr>
          <w:trHeight w:val="2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E0EF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60D10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E94A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AADB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477D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352A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A7812" w:rsidRPr="007A7812" w14:paraId="427E4981" w14:textId="77777777" w:rsidTr="007A7812">
        <w:trPr>
          <w:trHeight w:val="48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9EFE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27090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E235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F74E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2781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543B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7A7812" w:rsidRPr="007A7812" w14:paraId="7CD48F36" w14:textId="77777777" w:rsidTr="007A7812">
        <w:trPr>
          <w:trHeight w:val="240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D6AD43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C. RASPOLOŽIVA SREDSTVA IZ PRETHODNIH GODINA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C19D30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B7F69B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7C83AF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7A7812" w:rsidRPr="007A7812" w14:paraId="7A670514" w14:textId="77777777" w:rsidTr="007A7812">
        <w:trPr>
          <w:trHeight w:val="2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0521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C75DE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85F1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27B0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1.044,01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3E74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AA1D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1.044,01</w:t>
            </w:r>
          </w:p>
        </w:tc>
      </w:tr>
      <w:tr w:rsidR="007A7812" w:rsidRPr="007A7812" w14:paraId="532307CD" w14:textId="77777777" w:rsidTr="007A7812">
        <w:trPr>
          <w:trHeight w:val="24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DBB5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89F1" w14:textId="77777777" w:rsidR="007A7812" w:rsidRPr="007A7812" w:rsidRDefault="007A7812" w:rsidP="007A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BE8F" w14:textId="77777777" w:rsidR="007A7812" w:rsidRPr="007A7812" w:rsidRDefault="007A7812" w:rsidP="007A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763F" w14:textId="77777777" w:rsidR="007A7812" w:rsidRPr="007A7812" w:rsidRDefault="007A7812" w:rsidP="007A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4A4B" w14:textId="77777777" w:rsidR="007A7812" w:rsidRPr="007A7812" w:rsidRDefault="007A7812" w:rsidP="007A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FF60" w14:textId="77777777" w:rsidR="007A7812" w:rsidRPr="007A7812" w:rsidRDefault="007A7812" w:rsidP="007A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A7812" w:rsidRPr="007A7812" w14:paraId="500C7ABA" w14:textId="77777777" w:rsidTr="007A7812">
        <w:trPr>
          <w:trHeight w:val="960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1C1E" w14:textId="77777777" w:rsidR="007A7812" w:rsidRPr="007A7812" w:rsidRDefault="007A7812" w:rsidP="007A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659CE" w14:textId="77777777" w:rsidR="007A7812" w:rsidRPr="007A7812" w:rsidRDefault="007A7812" w:rsidP="007A7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0270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61EB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6F7A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85DF" w14:textId="77777777" w:rsidR="007A7812" w:rsidRPr="007A7812" w:rsidRDefault="007A7812" w:rsidP="007A78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A78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4402D940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CF3431A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8353749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DAE3CA5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218A317" w14:textId="49916775" w:rsidR="00521A02" w:rsidRDefault="00521A02" w:rsidP="00521A02">
      <w:pPr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bookmarkStart w:id="1" w:name="_Hlk209163505"/>
      <w:r w:rsidRPr="00D903AB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RAČUN PRIHODA I RASHODA PREMA EKONOMSKOJ KLASIFIKACIJI</w:t>
      </w:r>
    </w:p>
    <w:p w14:paraId="31E6881F" w14:textId="77777777" w:rsidR="001A3089" w:rsidRDefault="001A3089" w:rsidP="00564FA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1060"/>
        <w:gridCol w:w="3618"/>
        <w:gridCol w:w="1117"/>
        <w:gridCol w:w="1480"/>
        <w:gridCol w:w="1237"/>
        <w:gridCol w:w="1240"/>
      </w:tblGrid>
      <w:tr w:rsidR="001A3089" w:rsidRPr="001A3089" w14:paraId="77614051" w14:textId="77777777" w:rsidTr="001A3089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36A37B" w14:textId="77777777" w:rsidR="001A3089" w:rsidRPr="001A3089" w:rsidRDefault="001A3089" w:rsidP="001A3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2A86A4" w14:textId="77777777" w:rsidR="001A3089" w:rsidRPr="001A3089" w:rsidRDefault="001A3089" w:rsidP="001A3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7C1D10" w14:textId="77777777" w:rsidR="001A3089" w:rsidRPr="001A3089" w:rsidRDefault="001A3089" w:rsidP="001A3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1A30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273E6B3" w14:textId="77777777" w:rsidR="001A3089" w:rsidRPr="001A3089" w:rsidRDefault="001A3089" w:rsidP="001A3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1A30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662C7A" w14:textId="77777777" w:rsidR="001A3089" w:rsidRPr="001A3089" w:rsidRDefault="001A3089" w:rsidP="001A3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 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C54127" w14:textId="77777777" w:rsidR="001A3089" w:rsidRPr="001A3089" w:rsidRDefault="001A3089" w:rsidP="001A3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1A3089" w:rsidRPr="001A3089" w14:paraId="1EB207DD" w14:textId="77777777" w:rsidTr="001A3089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D6ABE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4FD05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BAEA3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78CF1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B858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AC3B0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1A3089" w:rsidRPr="001A3089" w14:paraId="2FEF94E2" w14:textId="77777777" w:rsidTr="001A3089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E4635B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46B22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BF5C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F540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-16.038,01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875E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-9,29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094C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156.641,99</w:t>
            </w:r>
          </w:p>
        </w:tc>
      </w:tr>
      <w:tr w:rsidR="001A3089" w:rsidRPr="001A3089" w14:paraId="727C4913" w14:textId="77777777" w:rsidTr="001A3089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67B6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63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A8124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1B9E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42.750,00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588F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-3.900,00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4FD3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-9,12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1E60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38.850,00</w:t>
            </w:r>
          </w:p>
        </w:tc>
      </w:tr>
      <w:tr w:rsidR="001A3089" w:rsidRPr="001A3089" w14:paraId="1A2A5B1C" w14:textId="77777777" w:rsidTr="001A3089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5604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C9185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92C1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BE1F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7417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857A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1A3089" w:rsidRPr="001A3089" w14:paraId="1FCD7275" w14:textId="77777777" w:rsidTr="001A3089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0714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A762A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F250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6.130,00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C4BA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-9,01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EC8FF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-0,15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A5AB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6.120,99</w:t>
            </w:r>
          </w:p>
        </w:tc>
      </w:tr>
      <w:tr w:rsidR="001A3089" w:rsidRPr="001A3089" w14:paraId="7B31D3C9" w14:textId="77777777" w:rsidTr="001A3089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A41C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08317" w14:textId="77777777" w:rsidR="001A3089" w:rsidRPr="001A3089" w:rsidRDefault="001A3089" w:rsidP="001A3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D6AE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BC6F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-12.129,00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C578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-9,80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4996" w14:textId="77777777" w:rsidR="001A3089" w:rsidRPr="001A3089" w:rsidRDefault="001A3089" w:rsidP="001A30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A308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111.671,00</w:t>
            </w:r>
          </w:p>
        </w:tc>
      </w:tr>
    </w:tbl>
    <w:p w14:paraId="6D524A2B" w14:textId="77777777" w:rsidR="00564FA3" w:rsidRPr="00D903AB" w:rsidRDefault="00564FA3" w:rsidP="00564FA3">
      <w:pPr>
        <w:spacing w:after="0"/>
        <w:ind w:left="405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bookmarkEnd w:id="1"/>
    <w:p w14:paraId="520DD5E6" w14:textId="77777777" w:rsidR="00A918E0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tbl>
      <w:tblPr>
        <w:tblW w:w="9777" w:type="dxa"/>
        <w:tblLook w:val="04A0" w:firstRow="1" w:lastRow="0" w:firstColumn="1" w:lastColumn="0" w:noHBand="0" w:noVBand="1"/>
      </w:tblPr>
      <w:tblGrid>
        <w:gridCol w:w="1060"/>
        <w:gridCol w:w="3476"/>
        <w:gridCol w:w="1280"/>
        <w:gridCol w:w="1480"/>
        <w:gridCol w:w="1241"/>
        <w:gridCol w:w="1240"/>
      </w:tblGrid>
      <w:tr w:rsidR="0025273E" w:rsidRPr="0025273E" w14:paraId="4AD83562" w14:textId="77777777" w:rsidTr="0025273E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4633F10" w14:textId="77777777" w:rsidR="0025273E" w:rsidRPr="0025273E" w:rsidRDefault="0025273E" w:rsidP="00252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E770C53" w14:textId="77777777" w:rsidR="0025273E" w:rsidRPr="0025273E" w:rsidRDefault="0025273E" w:rsidP="00252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2098E0" w14:textId="77777777" w:rsidR="0025273E" w:rsidRPr="0025273E" w:rsidRDefault="0025273E" w:rsidP="00252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2527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95C995" w14:textId="77777777" w:rsidR="0025273E" w:rsidRPr="0025273E" w:rsidRDefault="0025273E" w:rsidP="00252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2527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630484" w14:textId="77777777" w:rsidR="0025273E" w:rsidRPr="0025273E" w:rsidRDefault="0025273E" w:rsidP="00252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 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B0F5F3" w14:textId="77777777" w:rsidR="0025273E" w:rsidRPr="0025273E" w:rsidRDefault="0025273E" w:rsidP="00252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25273E" w:rsidRPr="0025273E" w14:paraId="7A054B4F" w14:textId="77777777" w:rsidTr="0025273E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4BCBA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91A63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SVEUKUPNO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63A9A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322DA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CD73E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A3B64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25273E" w:rsidRPr="0025273E" w14:paraId="6E82EC84" w14:textId="77777777" w:rsidTr="0025273E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709B0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B85AB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DE11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145.980,00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1010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-15.460,00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0037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-10,59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25FA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130.520,00</w:t>
            </w:r>
          </w:p>
        </w:tc>
      </w:tr>
      <w:tr w:rsidR="0025273E" w:rsidRPr="0025273E" w14:paraId="12B5043D" w14:textId="77777777" w:rsidTr="0025273E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782B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6D8F8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89A4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122.750,00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59D5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-14.670,00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0099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-11,95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943F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108.080,00</w:t>
            </w:r>
          </w:p>
        </w:tc>
      </w:tr>
      <w:tr w:rsidR="0025273E" w:rsidRPr="0025273E" w14:paraId="1B3433DE" w14:textId="77777777" w:rsidTr="0025273E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5959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08639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F8D9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22.780,00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62E4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-790,00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AF4D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-3,47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FB16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21.990,00</w:t>
            </w:r>
          </w:p>
        </w:tc>
      </w:tr>
      <w:tr w:rsidR="0025273E" w:rsidRPr="0025273E" w14:paraId="2E40F17A" w14:textId="77777777" w:rsidTr="0025273E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79F4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16938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728A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193B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EB70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FD09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450,00</w:t>
            </w:r>
          </w:p>
        </w:tc>
      </w:tr>
      <w:tr w:rsidR="0025273E" w:rsidRPr="0025273E" w14:paraId="711CC674" w14:textId="77777777" w:rsidTr="0025273E">
        <w:trPr>
          <w:trHeight w:val="2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C996F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6EF13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64C6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26.700,00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D49A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466,00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D529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6F17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27.166,00</w:t>
            </w:r>
          </w:p>
        </w:tc>
      </w:tr>
      <w:tr w:rsidR="0025273E" w:rsidRPr="0025273E" w14:paraId="7F9B78A4" w14:textId="77777777" w:rsidTr="0025273E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4F24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713C9" w14:textId="77777777" w:rsidR="0025273E" w:rsidRPr="0025273E" w:rsidRDefault="0025273E" w:rsidP="002527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DBAA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26.700,00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D3D6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466,00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92BC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EF8B" w14:textId="77777777" w:rsidR="0025273E" w:rsidRPr="0025273E" w:rsidRDefault="0025273E" w:rsidP="002527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5273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27.166,00</w:t>
            </w:r>
          </w:p>
        </w:tc>
      </w:tr>
    </w:tbl>
    <w:p w14:paraId="2AF83A58" w14:textId="77777777" w:rsidR="0025273E" w:rsidRPr="00D903AB" w:rsidRDefault="0025273E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121AAD7" w14:textId="77777777" w:rsidR="00A918E0" w:rsidRPr="00D903AB" w:rsidRDefault="00A918E0" w:rsidP="00A51863">
      <w:pPr>
        <w:tabs>
          <w:tab w:val="left" w:pos="9356"/>
        </w:tabs>
        <w:spacing w:after="0"/>
        <w:ind w:right="-427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7F3CE10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09E0F95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DCD512F" w14:textId="32721F34" w:rsidR="00A918E0" w:rsidRDefault="00046AF6" w:rsidP="00A918E0">
      <w:pPr>
        <w:numPr>
          <w:ilvl w:val="0"/>
          <w:numId w:val="5"/>
        </w:num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903AB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RAČUN PRIHODA I RASHODA PREMA IZVORIMA FINANCIRANJA</w:t>
      </w:r>
    </w:p>
    <w:p w14:paraId="4CE14B9F" w14:textId="77777777" w:rsidR="007F5907" w:rsidRPr="00D903AB" w:rsidRDefault="007F5907" w:rsidP="007F5907">
      <w:pPr>
        <w:spacing w:after="0"/>
        <w:ind w:left="405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CDD20DD" w14:textId="77777777" w:rsidR="00712674" w:rsidRDefault="00712674" w:rsidP="00712674">
      <w:pPr>
        <w:spacing w:after="0"/>
        <w:ind w:left="405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60"/>
        <w:gridCol w:w="3718"/>
        <w:gridCol w:w="1117"/>
        <w:gridCol w:w="1434"/>
        <w:gridCol w:w="1276"/>
        <w:gridCol w:w="1276"/>
      </w:tblGrid>
      <w:tr w:rsidR="00F60E52" w:rsidRPr="00F60E52" w14:paraId="35C5FF61" w14:textId="77777777" w:rsidTr="00F60E52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E2F8BA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F6CA7BF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6C42B9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488241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2B9E9A7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 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459731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F60E52" w:rsidRPr="00F60E52" w14:paraId="7E5068A9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F825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SVEUKUPNO PRIHODI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56FE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26E9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-14.994,00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B446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D68B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157.686,00</w:t>
            </w:r>
          </w:p>
        </w:tc>
      </w:tr>
      <w:tr w:rsidR="00F60E52" w:rsidRPr="00F60E52" w14:paraId="2555DCA6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C1740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A4D5D4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AC0F4A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-15.895,00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D36B98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3544C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107.905,00</w:t>
            </w:r>
          </w:p>
        </w:tc>
      </w:tr>
      <w:tr w:rsidR="00F60E52" w:rsidRPr="00F60E52" w14:paraId="3A585A5C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9BA7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3D37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683B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-15.895,00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85F0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0E3F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107.905,00</w:t>
            </w:r>
          </w:p>
        </w:tc>
      </w:tr>
      <w:tr w:rsidR="00F60E52" w:rsidRPr="00F60E52" w14:paraId="47C9CD48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8F3C3C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06A836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6.130,00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6FCDFF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3E9A30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ADE227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7.165,00</w:t>
            </w:r>
          </w:p>
        </w:tc>
      </w:tr>
      <w:tr w:rsidR="00F60E52" w:rsidRPr="00F60E52" w14:paraId="38569358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2F34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3.5. VLASTITI PRIHODI GRADSKA KNJIŽNICA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B4E2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6.130,00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1786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25DB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028B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7.165,00</w:t>
            </w:r>
          </w:p>
        </w:tc>
      </w:tr>
      <w:tr w:rsidR="00F60E52" w:rsidRPr="00F60E52" w14:paraId="5EA43435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5F72C1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C24383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42.750,00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A4B38F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894CEB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-0,31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8904A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42.616,00</w:t>
            </w:r>
          </w:p>
        </w:tc>
      </w:tr>
      <w:tr w:rsidR="00F60E52" w:rsidRPr="00F60E52" w14:paraId="20075098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C07A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 POMOĆI - ŽUPANIJSKI PRORAČUN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DF63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B55A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-234,00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161C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16E6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3.766,00</w:t>
            </w:r>
          </w:p>
        </w:tc>
      </w:tr>
      <w:tr w:rsidR="00F60E52" w:rsidRPr="00F60E52" w14:paraId="29D0DB95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A54B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5.4. POMOĆI TEMELJEM PRIJENOSA EU SREDSTAVA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126C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B3D2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390F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8D004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21.350,00</w:t>
            </w:r>
          </w:p>
        </w:tc>
      </w:tr>
      <w:tr w:rsidR="00F60E52" w:rsidRPr="00F60E52" w14:paraId="3CEA78B5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AA76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 POMOĆI DRŽAVNI PRORAČUN GRADSKA KNJIŽNICA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47B6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17.400,00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D899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4A5C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9106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</w:tr>
      <w:tr w:rsidR="00F60E52" w:rsidRPr="00F60E52" w14:paraId="3E0F0BE9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110B2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A7CA4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C82B6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F3F81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42B54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10EE9008" w14:textId="77777777" w:rsidR="007F5907" w:rsidRPr="00D903AB" w:rsidRDefault="007F5907" w:rsidP="00712674">
      <w:pPr>
        <w:spacing w:after="0"/>
        <w:ind w:left="405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60"/>
        <w:gridCol w:w="3718"/>
        <w:gridCol w:w="1117"/>
        <w:gridCol w:w="1435"/>
        <w:gridCol w:w="1275"/>
        <w:gridCol w:w="1276"/>
      </w:tblGrid>
      <w:tr w:rsidR="00F60E52" w:rsidRPr="00F60E52" w14:paraId="3D4B03E1" w14:textId="77777777" w:rsidTr="00F60E52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208401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74BFAE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EA3B38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6EEB859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230279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 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22DB7B" w14:textId="77777777" w:rsidR="00F60E52" w:rsidRPr="00F60E52" w:rsidRDefault="00F60E52" w:rsidP="00F60E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F60E52" w:rsidRPr="00F60E52" w14:paraId="5EB36EFB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B4DF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SVEUKUPNO RASHODI / IZDACI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723B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0325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-14.994,00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9EBF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EC6B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157.686,00</w:t>
            </w:r>
          </w:p>
        </w:tc>
      </w:tr>
      <w:tr w:rsidR="00F60E52" w:rsidRPr="00F60E52" w14:paraId="163D45B5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B5702C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9D0B6B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CBF3FF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-15.895,00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5C353B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731018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107.905,00</w:t>
            </w:r>
          </w:p>
        </w:tc>
      </w:tr>
      <w:tr w:rsidR="00F60E52" w:rsidRPr="00F60E52" w14:paraId="57953EB2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F430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C190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68E9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-15.895,00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83F2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-12,84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9176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107.905,00</w:t>
            </w:r>
          </w:p>
        </w:tc>
      </w:tr>
      <w:tr w:rsidR="00F60E52" w:rsidRPr="00F60E52" w14:paraId="49CB6975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9322E9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EFBDF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6.130,00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014877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45EEBF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4F657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7.165,00</w:t>
            </w:r>
          </w:p>
        </w:tc>
      </w:tr>
      <w:tr w:rsidR="00F60E52" w:rsidRPr="00F60E52" w14:paraId="63C221C3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7F1A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3.5. VLASTITI PRIHODI GRADSKA KNJIŽNICA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DADD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6.130,00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48FF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1.035,00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2A04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AAF3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7.165,00</w:t>
            </w:r>
          </w:p>
        </w:tc>
      </w:tr>
      <w:tr w:rsidR="00F60E52" w:rsidRPr="00F60E52" w14:paraId="0EF6365C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62EDA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902216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42.750,00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86503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C7CE5A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-0,31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422C1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42.616,00</w:t>
            </w:r>
          </w:p>
        </w:tc>
      </w:tr>
      <w:tr w:rsidR="00F60E52" w:rsidRPr="00F60E52" w14:paraId="66D2D554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1EA6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 POMOĆI - ŽUPANIJSKI PRORAČUN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74C3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27FF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-234,00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1C3A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DEEC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3.766,00</w:t>
            </w:r>
          </w:p>
        </w:tc>
      </w:tr>
      <w:tr w:rsidR="00F60E52" w:rsidRPr="00F60E52" w14:paraId="68E68A9C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F04D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5.4. POMOĆI TEMELJEM PRIJENOSA EU SREDSTAVA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8C53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F12B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CE1E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4A63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21.350,00</w:t>
            </w:r>
          </w:p>
        </w:tc>
      </w:tr>
      <w:tr w:rsidR="00F60E52" w:rsidRPr="00F60E52" w14:paraId="0458E6D1" w14:textId="77777777" w:rsidTr="00F60E52">
        <w:trPr>
          <w:trHeight w:val="24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069EC" w14:textId="77777777" w:rsidR="00F60E52" w:rsidRPr="00F60E52" w:rsidRDefault="00F60E52" w:rsidP="00F6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 POMOĆI DRŽAVNI PRORAČUN GRADSKA KNJIŽNICA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681C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17.400,00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F13C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D5652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8B96" w14:textId="77777777" w:rsidR="00F60E52" w:rsidRPr="00F60E52" w:rsidRDefault="00F60E52" w:rsidP="00F60E5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60E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</w:tr>
    </w:tbl>
    <w:p w14:paraId="7F399FB4" w14:textId="77777777" w:rsidR="007F5907" w:rsidRDefault="007F5907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CEE0925" w14:textId="77777777" w:rsidR="007F5907" w:rsidRDefault="007F5907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229AD8C" w14:textId="77777777" w:rsidR="007F5907" w:rsidRDefault="007F5907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9F9140E" w14:textId="77777777" w:rsidR="007F5907" w:rsidRDefault="007F5907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E295964" w14:textId="77777777" w:rsidR="007F5907" w:rsidRDefault="007F5907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CCD5F98" w14:textId="77777777" w:rsidR="007F5907" w:rsidRPr="00D903AB" w:rsidRDefault="007F5907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3825EEA3" w14:textId="5419FF33" w:rsidR="00E529D5" w:rsidRDefault="00F26A2A" w:rsidP="00E529D5">
      <w:pPr>
        <w:pStyle w:val="Odlomakpopisa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D903AB">
        <w:rPr>
          <w:rFonts w:ascii="Arial" w:hAnsi="Arial" w:cs="Arial"/>
          <w:b/>
          <w:bCs/>
          <w:sz w:val="20"/>
          <w:szCs w:val="20"/>
        </w:rPr>
        <w:t>RASHODI PREMA FUNKCIJSKOJ KLASIFIKACIJI</w:t>
      </w:r>
    </w:p>
    <w:p w14:paraId="1E038D12" w14:textId="77777777" w:rsidR="007F5907" w:rsidRDefault="007F5907" w:rsidP="007F5907">
      <w:pPr>
        <w:pStyle w:val="Odlomakpopisa"/>
        <w:ind w:left="405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60"/>
        <w:gridCol w:w="3576"/>
        <w:gridCol w:w="1117"/>
        <w:gridCol w:w="1377"/>
        <w:gridCol w:w="1237"/>
        <w:gridCol w:w="1514"/>
      </w:tblGrid>
      <w:tr w:rsidR="007F5907" w:rsidRPr="007F5907" w14:paraId="0F8ADA46" w14:textId="77777777" w:rsidTr="007F5907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CF18E6" w14:textId="77777777" w:rsidR="007F5907" w:rsidRPr="007F5907" w:rsidRDefault="007F5907" w:rsidP="007F5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FAEB0D" w14:textId="77777777" w:rsidR="007F5907" w:rsidRPr="007F5907" w:rsidRDefault="007F5907" w:rsidP="007F5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180DBD" w14:textId="77777777" w:rsidR="007F5907" w:rsidRPr="007F5907" w:rsidRDefault="007F5907" w:rsidP="007F5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D3F874" w14:textId="77777777" w:rsidR="007F5907" w:rsidRPr="007F5907" w:rsidRDefault="007F5907" w:rsidP="007F5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POVEĆANJE/</w:t>
            </w: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5EF7074" w14:textId="77777777" w:rsidR="007F5907" w:rsidRPr="007F5907" w:rsidRDefault="007F5907" w:rsidP="007F5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 %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B9E4C9" w14:textId="77777777" w:rsidR="007F5907" w:rsidRPr="007F5907" w:rsidRDefault="007F5907" w:rsidP="007F5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NOVI PLAN 2025.</w:t>
            </w:r>
          </w:p>
        </w:tc>
      </w:tr>
      <w:tr w:rsidR="007F5907" w:rsidRPr="007F5907" w14:paraId="556EAB44" w14:textId="77777777" w:rsidTr="007F5907">
        <w:trPr>
          <w:trHeight w:val="2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6E98" w14:textId="77777777" w:rsidR="007F5907" w:rsidRPr="007F5907" w:rsidRDefault="007F5907" w:rsidP="007F5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SVEUKUPNO RASHODI / IZDACI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9BC7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03F9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-14.994,00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49C2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-8,68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A3AA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157.686,00</w:t>
            </w:r>
          </w:p>
        </w:tc>
      </w:tr>
      <w:tr w:rsidR="007F5907" w:rsidRPr="007F5907" w14:paraId="29756770" w14:textId="77777777" w:rsidTr="007F5907">
        <w:trPr>
          <w:trHeight w:val="2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AD28F2" w14:textId="77777777" w:rsidR="007F5907" w:rsidRPr="007F5907" w:rsidRDefault="007F5907" w:rsidP="007F5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088C34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F77AE2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-14.994,00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E3221B2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-8,68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436B3B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157.686,00</w:t>
            </w:r>
          </w:p>
        </w:tc>
      </w:tr>
      <w:tr w:rsidR="007F5907" w:rsidRPr="007F5907" w14:paraId="60FE54CB" w14:textId="77777777" w:rsidTr="007F5907">
        <w:trPr>
          <w:trHeight w:val="24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0E0596" w14:textId="77777777" w:rsidR="007F5907" w:rsidRPr="007F5907" w:rsidRDefault="007F5907" w:rsidP="007F59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082 Službe kulture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F9136C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6AFE76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-14.994,00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B0C1D1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-8,68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9085DAB" w14:textId="77777777" w:rsidR="007F5907" w:rsidRPr="007F5907" w:rsidRDefault="007F5907" w:rsidP="007F59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F590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157.686,00</w:t>
            </w:r>
          </w:p>
        </w:tc>
      </w:tr>
    </w:tbl>
    <w:p w14:paraId="7A23CFDF" w14:textId="136404C2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5431BA0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60FA5C7" w14:textId="19A7818A" w:rsidR="00E529D5" w:rsidRPr="00D903AB" w:rsidRDefault="00E529D5" w:rsidP="00E529D5">
      <w:pPr>
        <w:pStyle w:val="Odlomakpopisa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D903AB">
        <w:rPr>
          <w:rFonts w:ascii="Arial" w:hAnsi="Arial" w:cs="Arial"/>
          <w:b/>
          <w:bCs/>
          <w:sz w:val="20"/>
          <w:szCs w:val="20"/>
        </w:rPr>
        <w:t>RAČUN FINANANCIRANJA PREMA EKONOMSKOJ KLASIFIKACIJI I IZVORIMA FINANCIRANJA</w:t>
      </w:r>
    </w:p>
    <w:p w14:paraId="5BD50554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86ABDDF" w14:textId="70495317" w:rsidR="00A918E0" w:rsidRPr="00D903AB" w:rsidRDefault="00E529D5" w:rsidP="00A918E0">
      <w:pPr>
        <w:spacing w:after="0"/>
        <w:contextualSpacing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>Korisnik nema podataka za račun financiranja.</w:t>
      </w:r>
    </w:p>
    <w:p w14:paraId="14EA3BB1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85217BC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AF35CE7" w14:textId="34C80BCA" w:rsidR="00A918E0" w:rsidRPr="00D903AB" w:rsidRDefault="00A34AB8" w:rsidP="00085E7A">
      <w:pPr>
        <w:spacing w:after="0"/>
        <w:ind w:left="3204" w:firstLine="336"/>
        <w:contextualSpacing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903AB"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  <w:t>II. POSEBNI DIO</w:t>
      </w:r>
    </w:p>
    <w:p w14:paraId="77C97453" w14:textId="77777777" w:rsidR="00EA1876" w:rsidRPr="00D903AB" w:rsidRDefault="00EA1876" w:rsidP="00EA1876">
      <w:pPr>
        <w:spacing w:after="0"/>
        <w:ind w:left="3204" w:firstLine="336"/>
        <w:contextualSpacing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6424A0C4" w14:textId="08366BD2" w:rsidR="00A918E0" w:rsidRDefault="00EA1876" w:rsidP="00A918E0">
      <w:pPr>
        <w:spacing w:after="0"/>
        <w:contextualSpacing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  <w:r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Posebni dio sastoji se od plana rashoda </w:t>
      </w:r>
      <w:r w:rsidR="007F5907">
        <w:rPr>
          <w:rFonts w:ascii="Arial" w:hAnsi="Arial" w:cs="Arial"/>
          <w:kern w:val="2"/>
          <w:sz w:val="20"/>
          <w:szCs w:val="20"/>
          <w14:ligatures w14:val="standardContextual"/>
        </w:rPr>
        <w:t>Gradske knjižnice Sveti</w:t>
      </w:r>
      <w:r w:rsidRPr="00D903AB">
        <w:rPr>
          <w:rFonts w:ascii="Arial" w:hAnsi="Arial" w:cs="Arial"/>
          <w:kern w:val="2"/>
          <w:sz w:val="20"/>
          <w:szCs w:val="20"/>
          <w14:ligatures w14:val="standardContextual"/>
        </w:rPr>
        <w:t xml:space="preserve"> Ivan Zelina iskazanih po izvorima financiranja i ekonomskoj klasifikaciji raspoređenih po aktivnostima i projektima</w:t>
      </w:r>
      <w:r w:rsidR="007F5907">
        <w:rPr>
          <w:rFonts w:ascii="Arial" w:hAnsi="Arial" w:cs="Arial"/>
          <w:kern w:val="2"/>
          <w:sz w:val="20"/>
          <w:szCs w:val="20"/>
          <w14:ligatures w14:val="standardContextual"/>
        </w:rPr>
        <w:t>.</w:t>
      </w:r>
    </w:p>
    <w:p w14:paraId="761DDEAB" w14:textId="77777777" w:rsidR="005855AA" w:rsidRDefault="005855AA" w:rsidP="00A918E0">
      <w:pPr>
        <w:spacing w:after="0"/>
        <w:contextualSpacing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1F351B98" w14:textId="77777777" w:rsidR="005855AA" w:rsidRDefault="005855AA" w:rsidP="00A918E0">
      <w:pPr>
        <w:spacing w:after="0"/>
        <w:contextualSpacing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tbl>
      <w:tblPr>
        <w:tblW w:w="1034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276"/>
        <w:gridCol w:w="38"/>
        <w:gridCol w:w="3222"/>
        <w:gridCol w:w="132"/>
        <w:gridCol w:w="985"/>
        <w:gridCol w:w="301"/>
        <w:gridCol w:w="992"/>
        <w:gridCol w:w="851"/>
        <w:gridCol w:w="283"/>
        <w:gridCol w:w="992"/>
        <w:gridCol w:w="543"/>
        <w:gridCol w:w="733"/>
      </w:tblGrid>
      <w:tr w:rsidR="005855AA" w:rsidRPr="005855AA" w14:paraId="78001139" w14:textId="77777777" w:rsidTr="005855AA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14E9E" w14:textId="1D25C7BD" w:rsidR="005855AA" w:rsidRPr="005855AA" w:rsidRDefault="005855AA" w:rsidP="00585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</w:t>
            </w: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1F942" w14:textId="4849EA30" w:rsidR="005855AA" w:rsidRPr="005855AA" w:rsidRDefault="005855AA" w:rsidP="00585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44E77" w14:textId="0363839F" w:rsidR="005855AA" w:rsidRPr="005855AA" w:rsidRDefault="005855AA" w:rsidP="00585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</w:t>
            </w: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PLAN</w:t>
            </w: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</w:t>
            </w: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2025.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2FDDF" w14:textId="77777777" w:rsidR="005855AA" w:rsidRPr="005855AA" w:rsidRDefault="005855AA" w:rsidP="00585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POVEĆANJE/</w:t>
            </w: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261A1" w14:textId="77777777" w:rsidR="005855AA" w:rsidRPr="005855AA" w:rsidRDefault="005855AA" w:rsidP="00585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PROMJENA 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81CA7" w14:textId="77777777" w:rsidR="005855AA" w:rsidRPr="005855AA" w:rsidRDefault="005855AA" w:rsidP="005855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NOVI PLAN 2025.</w:t>
            </w:r>
          </w:p>
        </w:tc>
      </w:tr>
      <w:tr w:rsidR="005855AA" w:rsidRPr="005855AA" w14:paraId="5646E1E9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C0C0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SVEUKUPNO RASHODI / IZDACI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682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A6C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-14.994,00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3CF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-8,68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C8BD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157.686,00</w:t>
            </w:r>
          </w:p>
        </w:tc>
      </w:tr>
      <w:tr w:rsidR="005855AA" w:rsidRPr="005855AA" w14:paraId="1B682466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558D05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002 UPRAVNI ODJEL ZA DRUŠTVENE DJELATNOSTI, NORMATIVNE, UPRAVNO PRAVNE I OSTALE POSLOVE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0FEFC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6F766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-14.994,00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1DE24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-8,68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7D77C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157.686,00</w:t>
            </w:r>
          </w:p>
        </w:tc>
      </w:tr>
      <w:tr w:rsidR="005855AA" w:rsidRPr="005855AA" w14:paraId="047EA56A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491C26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00225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C98F0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810CB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-14.994,00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D15DB0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-8,68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03EBE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157.686,00</w:t>
            </w:r>
          </w:p>
        </w:tc>
      </w:tr>
      <w:tr w:rsidR="005855AA" w:rsidRPr="005855AA" w14:paraId="4F590E17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99C7D8C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Proračunski korisnik 27167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389138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CBE768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-14.994,00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D544F9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-8,68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DC3E5F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157.686,00</w:t>
            </w:r>
          </w:p>
        </w:tc>
      </w:tr>
      <w:tr w:rsidR="005855AA" w:rsidRPr="005855AA" w14:paraId="46D9C3CC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E6365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B7E7C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432E6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5739D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-12,84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520D6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107.905,00</w:t>
            </w:r>
          </w:p>
        </w:tc>
      </w:tr>
      <w:tr w:rsidR="005855AA" w:rsidRPr="005855AA" w14:paraId="0B886F66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9419A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6784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112A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4BEB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-12,84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4979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107.905,00</w:t>
            </w:r>
          </w:p>
        </w:tc>
      </w:tr>
      <w:tr w:rsidR="005855AA" w:rsidRPr="005855AA" w14:paraId="58113B59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2652FB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4A202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6.130,00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F6D9F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DD729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16,88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81A7D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7.165,00</w:t>
            </w:r>
          </w:p>
        </w:tc>
      </w:tr>
      <w:tr w:rsidR="005855AA" w:rsidRPr="005855AA" w14:paraId="76782030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EA76A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3.5. VLASTITI PRIHODI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95E6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6.130,00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8826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F2DC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16,88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B805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7.165,00</w:t>
            </w:r>
          </w:p>
        </w:tc>
      </w:tr>
      <w:tr w:rsidR="005855AA" w:rsidRPr="005855AA" w14:paraId="65578736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77B850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E6BE0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42.750,00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154B8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FFD90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-0,31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35DC7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42.616,00</w:t>
            </w:r>
          </w:p>
        </w:tc>
      </w:tr>
      <w:tr w:rsidR="005855AA" w:rsidRPr="005855AA" w14:paraId="2D882DD6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B157B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 POMOĆI - ŽUPANIJSKI PRORAČUN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3FAF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04D3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F35AF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-5,85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B5A69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3.766,00</w:t>
            </w:r>
          </w:p>
        </w:tc>
      </w:tr>
      <w:tr w:rsidR="005855AA" w:rsidRPr="005855AA" w14:paraId="318743D7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32D5A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5.4. POMOĆI TEMELJEM PRIJENOSA EU SREDSTAVA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FC1E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E2CC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7DBB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552D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21.350,00</w:t>
            </w:r>
          </w:p>
        </w:tc>
      </w:tr>
      <w:tr w:rsidR="005855AA" w:rsidRPr="005855AA" w14:paraId="02FD4935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26B1E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 POMOĆI DRŽAVNI PRORAČUN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439D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17.400,00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B9BB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16E3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0,57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DC00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</w:tr>
      <w:tr w:rsidR="005855AA" w:rsidRPr="005855AA" w14:paraId="7A403133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EE163F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2025 DJELATNOST GRADSKE KNJIŽNICE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D85E3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172.680,00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A3EB2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-14.994,00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8027D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-8,68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84DDD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157.686,00</w:t>
            </w:r>
          </w:p>
        </w:tc>
      </w:tr>
      <w:tr w:rsidR="005855AA" w:rsidRPr="005855AA" w14:paraId="6F241F46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C65E5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A202501 Redovna djelatnost Gradske knjižnice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DB91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120.930,00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36CD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-15.905,00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3761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-13,15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6C94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105.025,00</w:t>
            </w:r>
          </w:p>
        </w:tc>
      </w:tr>
      <w:tr w:rsidR="005855AA" w:rsidRPr="005855AA" w14:paraId="7DC2F109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D0BE02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163D0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115.700,00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0EBE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-16.295,00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D697D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-14,08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B0EC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99.405,00</w:t>
            </w:r>
          </w:p>
        </w:tc>
      </w:tr>
      <w:tr w:rsidR="005855AA" w:rsidRPr="005855AA" w14:paraId="17A27532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D324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E313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FEF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115.700,00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1D98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-16.295,00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697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-14,08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988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99.405,00</w:t>
            </w:r>
          </w:p>
        </w:tc>
      </w:tr>
      <w:tr w:rsidR="005855AA" w:rsidRPr="005855AA" w14:paraId="198D3683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C645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12D5E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42F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106.100,00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EDED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-14.350,00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8D6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-13,52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0010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91.750,00</w:t>
            </w:r>
          </w:p>
        </w:tc>
      </w:tr>
      <w:tr w:rsidR="005855AA" w:rsidRPr="005855AA" w14:paraId="5632867C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0B1E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45B55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B91F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9.600,00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D40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-1.945,00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A40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-20,26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5CB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7.655,00</w:t>
            </w:r>
          </w:p>
        </w:tc>
      </w:tr>
      <w:tr w:rsidR="005855AA" w:rsidRPr="005855AA" w14:paraId="193D1E1E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5E3144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3.5. VLASTITI PRIHODI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94DEF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5.230,00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3A548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C91AED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7,46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1AE12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5.620,00</w:t>
            </w:r>
          </w:p>
        </w:tc>
      </w:tr>
      <w:tr w:rsidR="005855AA" w:rsidRPr="005855AA" w14:paraId="1F408004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232A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D9EC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208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5.230,00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D2AD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FA3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7,46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A869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5.620,00</w:t>
            </w:r>
          </w:p>
        </w:tc>
      </w:tr>
      <w:tr w:rsidR="005855AA" w:rsidRPr="005855AA" w14:paraId="6C7FB5E9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D1F4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22F79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E06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29D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BCB9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-17,78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F81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1.480,00</w:t>
            </w:r>
          </w:p>
        </w:tc>
      </w:tr>
      <w:tr w:rsidR="005855AA" w:rsidRPr="005855AA" w14:paraId="009A5F9E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90A5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40474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890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2.980,00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451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F0CF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23,83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DA2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3.690,00</w:t>
            </w:r>
          </w:p>
        </w:tc>
      </w:tr>
      <w:tr w:rsidR="005855AA" w:rsidRPr="005855AA" w14:paraId="7CD21351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CDEC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29FF1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B13F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AFC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42B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C6D0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450,00</w:t>
            </w:r>
          </w:p>
        </w:tc>
      </w:tr>
      <w:tr w:rsidR="005855AA" w:rsidRPr="005855AA" w14:paraId="27AF12E3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C1100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Kapitalni projekt K202502 Nabava knjižnične građe i opreme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4E92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26.700,00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1EAF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0DA2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1,75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D053F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27.166,00</w:t>
            </w:r>
          </w:p>
        </w:tc>
      </w:tr>
      <w:tr w:rsidR="005855AA" w:rsidRPr="005855AA" w14:paraId="74F6479D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744F82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1AD4D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631E4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8E990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90D989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6.800,00</w:t>
            </w:r>
          </w:p>
        </w:tc>
      </w:tr>
      <w:tr w:rsidR="005855AA" w:rsidRPr="005855AA" w14:paraId="0E4964A8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52FD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7E9E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2A8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0AB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B76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57E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6.800,00</w:t>
            </w:r>
          </w:p>
        </w:tc>
      </w:tr>
      <w:tr w:rsidR="005855AA" w:rsidRPr="005855AA" w14:paraId="7FA5E245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40CC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D9BB1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970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336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735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E60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6.800,00</w:t>
            </w:r>
          </w:p>
        </w:tc>
      </w:tr>
      <w:tr w:rsidR="005855AA" w:rsidRPr="005855AA" w14:paraId="687E589F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E66176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3.5. VLASTITI PRIHODI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5B10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D5261F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243F2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98082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5855AA" w:rsidRPr="005855AA" w14:paraId="6D8ADA04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C765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3C4A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D17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130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E2D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3B6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</w:tr>
      <w:tr w:rsidR="005855AA" w:rsidRPr="005855AA" w14:paraId="74295D24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CD3C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01AFD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2B7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212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4DE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590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5855AA" w:rsidRPr="005855AA" w14:paraId="1605952D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E72FED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5.1.3 POMOĆI ŽUPANIJSKI PRORAČUN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268F0F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4B04F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9913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13,07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54BB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3.166,00</w:t>
            </w:r>
          </w:p>
        </w:tc>
      </w:tr>
      <w:tr w:rsidR="005855AA" w:rsidRPr="005855AA" w14:paraId="3EA9D0CA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AAF3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10AE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CC5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D31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D6A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13,07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681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3.166,00</w:t>
            </w:r>
          </w:p>
        </w:tc>
      </w:tr>
      <w:tr w:rsidR="005855AA" w:rsidRPr="005855AA" w14:paraId="472972F5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AE53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B70EF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3EF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6D4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32C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13,07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E5E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3.166,00</w:t>
            </w:r>
          </w:p>
        </w:tc>
      </w:tr>
      <w:tr w:rsidR="005855AA" w:rsidRPr="005855AA" w14:paraId="0899344B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2C0902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 POMOĆI DRŽAVNI PRORAČUN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6249B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225C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1182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0,59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801C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17.100,00</w:t>
            </w:r>
          </w:p>
        </w:tc>
      </w:tr>
      <w:tr w:rsidR="005855AA" w:rsidRPr="005855AA" w14:paraId="35355646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E487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1398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6E2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E5DF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557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0,59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35BD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17.100,00</w:t>
            </w:r>
          </w:p>
        </w:tc>
      </w:tr>
      <w:tr w:rsidR="005855AA" w:rsidRPr="005855AA" w14:paraId="0F2142BF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8143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ACC45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403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67C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4F8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0,59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09D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17.100,00</w:t>
            </w:r>
          </w:p>
        </w:tc>
      </w:tr>
      <w:tr w:rsidR="005855AA" w:rsidRPr="005855AA" w14:paraId="78760BC5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A5C9A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T202503 Predavanja, književne večeri, radionice, tribine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F30C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FEC6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2E2E7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12,03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AA5C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4.145,00</w:t>
            </w:r>
          </w:p>
        </w:tc>
      </w:tr>
      <w:tr w:rsidR="005855AA" w:rsidRPr="005855AA" w14:paraId="5DC26387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AE6DEA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PRIHODI OD POREZA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B92D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CD3A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50016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30,77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1FF7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1.700,00</w:t>
            </w:r>
          </w:p>
        </w:tc>
      </w:tr>
      <w:tr w:rsidR="005855AA" w:rsidRPr="005855AA" w14:paraId="3E78D9F7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1015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A788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E53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925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0CDF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30,77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8FF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1.700,00</w:t>
            </w:r>
          </w:p>
        </w:tc>
      </w:tr>
      <w:tr w:rsidR="005855AA" w:rsidRPr="005855AA" w14:paraId="2903E504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B8A4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E323D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0CA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28E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FAC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30,77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A99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1.700,00</w:t>
            </w:r>
          </w:p>
        </w:tc>
      </w:tr>
      <w:tr w:rsidR="005855AA" w:rsidRPr="005855AA" w14:paraId="052FCB9A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759828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3.5. VLASTITI PRIHODI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5AF7D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E3E879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5A4839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80,63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91532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1.445,00</w:t>
            </w:r>
          </w:p>
        </w:tc>
      </w:tr>
      <w:tr w:rsidR="005855AA" w:rsidRPr="005855AA" w14:paraId="6C5A471E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7617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0B1A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A78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EF8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1A6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80,63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BD6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1.445,00</w:t>
            </w:r>
          </w:p>
        </w:tc>
      </w:tr>
      <w:tr w:rsidR="005855AA" w:rsidRPr="005855AA" w14:paraId="621A2FE0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4707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CBE92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B78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F99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663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80,63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9EA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1.445,00</w:t>
            </w:r>
          </w:p>
        </w:tc>
      </w:tr>
      <w:tr w:rsidR="005855AA" w:rsidRPr="005855AA" w14:paraId="20BCDC4C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ABA1F5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5.1.3 POMOĆI ŽUPANIJSKI PRORAČUN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70F7F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E58EE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A81B6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FC59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600,00</w:t>
            </w:r>
          </w:p>
        </w:tc>
      </w:tr>
      <w:tr w:rsidR="005855AA" w:rsidRPr="005855AA" w14:paraId="5E1C911D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154C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C0BD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F6B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1A7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C38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68D5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</w:tr>
      <w:tr w:rsidR="005855AA" w:rsidRPr="005855AA" w14:paraId="350B2B00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E84B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74829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083D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E09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68F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5AC0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600,00</w:t>
            </w:r>
          </w:p>
        </w:tc>
      </w:tr>
      <w:tr w:rsidR="005855AA" w:rsidRPr="005855AA" w14:paraId="28ED2073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7D8222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5.5 POMOĆI DRŽAVNI PRORAČUN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F611BD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13731F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468F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AAC8F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400,00</w:t>
            </w:r>
          </w:p>
        </w:tc>
      </w:tr>
      <w:tr w:rsidR="005855AA" w:rsidRPr="005855AA" w14:paraId="66963906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988C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F23F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4E5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A91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9B6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2278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400,00</w:t>
            </w:r>
          </w:p>
        </w:tc>
      </w:tr>
      <w:tr w:rsidR="005855AA" w:rsidRPr="005855AA" w14:paraId="233BC8AC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7672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CAB007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FAB9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608D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D6C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EDD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400,00</w:t>
            </w:r>
          </w:p>
        </w:tc>
      </w:tr>
      <w:tr w:rsidR="005855AA" w:rsidRPr="005855AA" w14:paraId="64D8DF02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E275B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T202505 Inkluzivna kulturama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8A2BB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D79D2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4A40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4951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21.350,00</w:t>
            </w:r>
          </w:p>
        </w:tc>
      </w:tr>
      <w:tr w:rsidR="005855AA" w:rsidRPr="005855AA" w14:paraId="40C87CC0" w14:textId="77777777" w:rsidTr="005855AA">
        <w:trPr>
          <w:gridAfter w:val="1"/>
          <w:wAfter w:w="733" w:type="dxa"/>
          <w:trHeight w:val="24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F04463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5.4.10 POMOĆ TEMELJEM PRIJENOSA EU SREDSTVA GRADSKA KNJIŽNICA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7C830D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BC5194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927C06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ACC32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21.350,00</w:t>
            </w:r>
          </w:p>
        </w:tc>
      </w:tr>
      <w:tr w:rsidR="005855AA" w:rsidRPr="005855AA" w14:paraId="5EC65F93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9EB3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27C6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9C3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21.350,00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AAA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728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BFE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21.350,00</w:t>
            </w:r>
          </w:p>
        </w:tc>
      </w:tr>
      <w:tr w:rsidR="005855AA" w:rsidRPr="005855AA" w14:paraId="6EB8571B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6AC2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584F1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041E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14.850,00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C252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B250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5777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14.850,00</w:t>
            </w:r>
          </w:p>
        </w:tc>
      </w:tr>
      <w:tr w:rsidR="005855AA" w:rsidRPr="005855AA" w14:paraId="3D915781" w14:textId="77777777" w:rsidTr="005855AA">
        <w:trPr>
          <w:gridAfter w:val="1"/>
          <w:wAfter w:w="733" w:type="dxa"/>
          <w:trHeight w:val="240"/>
        </w:trPr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8FB6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FF7FB" w14:textId="77777777" w:rsidR="005855AA" w:rsidRPr="005855AA" w:rsidRDefault="005855AA" w:rsidP="005855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413C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679A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3963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7EE1" w14:textId="77777777" w:rsidR="005855AA" w:rsidRPr="005855AA" w:rsidRDefault="005855AA" w:rsidP="005855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855A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6.500,00</w:t>
            </w:r>
          </w:p>
        </w:tc>
      </w:tr>
    </w:tbl>
    <w:p w14:paraId="4C4643EE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FD2208E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8851BFE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98333C0" w14:textId="09A1830A" w:rsidR="00A918E0" w:rsidRPr="00D903AB" w:rsidRDefault="002E3851" w:rsidP="002E3851">
      <w:pPr>
        <w:spacing w:after="0"/>
        <w:ind w:left="-56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903AB">
        <w:rPr>
          <w:rFonts w:ascii="Arial" w:hAnsi="Arial" w:cs="Arial"/>
          <w:bCs/>
          <w:sz w:val="20"/>
          <w:szCs w:val="20"/>
        </w:rPr>
        <w:t>Ove I. izmjen</w:t>
      </w:r>
      <w:r w:rsidR="00860F5E">
        <w:rPr>
          <w:rFonts w:ascii="Arial" w:hAnsi="Arial" w:cs="Arial"/>
          <w:bCs/>
          <w:sz w:val="20"/>
          <w:szCs w:val="20"/>
        </w:rPr>
        <w:t>e</w:t>
      </w:r>
      <w:r w:rsidRPr="00D903AB">
        <w:rPr>
          <w:rFonts w:ascii="Arial" w:hAnsi="Arial" w:cs="Arial"/>
          <w:bCs/>
          <w:sz w:val="20"/>
          <w:szCs w:val="20"/>
        </w:rPr>
        <w:t xml:space="preserve"> i dopun</w:t>
      </w:r>
      <w:r w:rsidR="00860F5E">
        <w:rPr>
          <w:rFonts w:ascii="Arial" w:hAnsi="Arial" w:cs="Arial"/>
          <w:bCs/>
          <w:sz w:val="20"/>
          <w:szCs w:val="20"/>
        </w:rPr>
        <w:t>e</w:t>
      </w:r>
      <w:r w:rsidRPr="00D903AB">
        <w:rPr>
          <w:rFonts w:ascii="Arial" w:hAnsi="Arial" w:cs="Arial"/>
          <w:bCs/>
          <w:sz w:val="20"/>
          <w:szCs w:val="20"/>
        </w:rPr>
        <w:t xml:space="preserve"> financijskog plana </w:t>
      </w:r>
      <w:r w:rsidR="00860F5E">
        <w:rPr>
          <w:rFonts w:ascii="Arial" w:hAnsi="Arial" w:cs="Arial"/>
          <w:bCs/>
          <w:sz w:val="20"/>
          <w:szCs w:val="20"/>
        </w:rPr>
        <w:t xml:space="preserve">Gradske knjižnice Sveti Ivan Zelina za </w:t>
      </w:r>
      <w:r w:rsidRPr="00D903AB">
        <w:rPr>
          <w:rFonts w:ascii="Arial" w:hAnsi="Arial" w:cs="Arial"/>
          <w:bCs/>
          <w:sz w:val="20"/>
          <w:szCs w:val="20"/>
        </w:rPr>
        <w:t>2025. godinu stupaju na snagu 09.</w:t>
      </w:r>
      <w:r w:rsidR="00860F5E">
        <w:rPr>
          <w:rFonts w:ascii="Arial" w:hAnsi="Arial" w:cs="Arial"/>
          <w:bCs/>
          <w:sz w:val="20"/>
          <w:szCs w:val="20"/>
        </w:rPr>
        <w:t xml:space="preserve"> rujna </w:t>
      </w:r>
      <w:r w:rsidRPr="00D903AB">
        <w:rPr>
          <w:rFonts w:ascii="Arial" w:hAnsi="Arial" w:cs="Arial"/>
          <w:bCs/>
          <w:sz w:val="20"/>
          <w:szCs w:val="20"/>
        </w:rPr>
        <w:t>2025.</w:t>
      </w:r>
      <w:r w:rsidR="00860F5E">
        <w:rPr>
          <w:rFonts w:ascii="Arial" w:hAnsi="Arial" w:cs="Arial"/>
          <w:bCs/>
          <w:sz w:val="20"/>
          <w:szCs w:val="20"/>
        </w:rPr>
        <w:t xml:space="preserve"> </w:t>
      </w:r>
      <w:r w:rsidRPr="00D903AB">
        <w:rPr>
          <w:rFonts w:ascii="Arial" w:hAnsi="Arial" w:cs="Arial"/>
          <w:bCs/>
          <w:sz w:val="20"/>
          <w:szCs w:val="20"/>
        </w:rPr>
        <w:t>godine.</w:t>
      </w:r>
    </w:p>
    <w:p w14:paraId="0BC99333" w14:textId="77777777" w:rsidR="002E3851" w:rsidRPr="00D903AB" w:rsidRDefault="002E3851" w:rsidP="002E3851">
      <w:pPr>
        <w:spacing w:after="0"/>
        <w:ind w:left="-567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328FDB4F" w14:textId="51B63822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14:paraId="678E1D50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B1B001D" w14:textId="11A7ED16" w:rsidR="00860F5E" w:rsidRPr="00D903AB" w:rsidRDefault="00860F5E" w:rsidP="00860F5E">
      <w:pPr>
        <w:ind w:right="-141"/>
        <w:jc w:val="center"/>
        <w:rPr>
          <w:rFonts w:ascii="Arial" w:hAnsi="Arial" w:cs="Arial"/>
          <w:bCs/>
          <w:sz w:val="20"/>
          <w:szCs w:val="20"/>
        </w:rPr>
      </w:pPr>
      <w:r w:rsidRPr="00D903AB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="009569DB">
        <w:rPr>
          <w:rFonts w:ascii="Arial" w:hAnsi="Arial" w:cs="Arial"/>
          <w:b/>
          <w:sz w:val="20"/>
          <w:szCs w:val="20"/>
        </w:rPr>
        <w:t xml:space="preserve">         </w:t>
      </w:r>
      <w:r w:rsidRPr="00D903AB">
        <w:rPr>
          <w:rFonts w:ascii="Arial" w:hAnsi="Arial" w:cs="Arial"/>
          <w:bCs/>
          <w:sz w:val="20"/>
          <w:szCs w:val="20"/>
        </w:rPr>
        <w:t>Ravnateljica:</w:t>
      </w:r>
    </w:p>
    <w:p w14:paraId="4B208529" w14:textId="3D2ED6A0" w:rsidR="00A918E0" w:rsidRPr="00D903AB" w:rsidRDefault="00860F5E" w:rsidP="00860F5E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  <w:r w:rsidRPr="00D903AB">
        <w:rPr>
          <w:rFonts w:ascii="Arial" w:hAnsi="Arial" w:cs="Arial"/>
          <w:bCs/>
          <w:sz w:val="20"/>
          <w:szCs w:val="20"/>
        </w:rPr>
        <w:t xml:space="preserve">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</w:t>
      </w:r>
      <w:r w:rsidR="009569DB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Valentina </w:t>
      </w:r>
      <w:proofErr w:type="spellStart"/>
      <w:r>
        <w:rPr>
          <w:rFonts w:ascii="Arial" w:hAnsi="Arial" w:cs="Arial"/>
          <w:bCs/>
          <w:sz w:val="20"/>
          <w:szCs w:val="20"/>
        </w:rPr>
        <w:t>Strelar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Dananić</w:t>
      </w:r>
      <w:proofErr w:type="spellEnd"/>
    </w:p>
    <w:p w14:paraId="44244749" w14:textId="77777777" w:rsidR="002E3851" w:rsidRPr="00D903AB" w:rsidRDefault="002E3851" w:rsidP="002E3851">
      <w:pPr>
        <w:rPr>
          <w:rFonts w:ascii="Arial" w:hAnsi="Arial" w:cs="Arial"/>
          <w:b/>
          <w:sz w:val="20"/>
          <w:szCs w:val="20"/>
        </w:rPr>
      </w:pPr>
    </w:p>
    <w:p w14:paraId="3064F425" w14:textId="377929F0" w:rsidR="00F76C74" w:rsidRPr="00D903AB" w:rsidRDefault="00F76C74" w:rsidP="002E3851">
      <w:pPr>
        <w:rPr>
          <w:rFonts w:ascii="Arial" w:hAnsi="Arial" w:cs="Arial"/>
          <w:b/>
          <w:sz w:val="20"/>
          <w:szCs w:val="20"/>
        </w:rPr>
      </w:pPr>
    </w:p>
    <w:p w14:paraId="3ECFA77E" w14:textId="6E6EA3AC" w:rsidR="002E3851" w:rsidRPr="00D903AB" w:rsidRDefault="002E3851" w:rsidP="002E3851">
      <w:pPr>
        <w:jc w:val="center"/>
        <w:rPr>
          <w:rFonts w:ascii="Arial" w:hAnsi="Arial" w:cs="Arial"/>
          <w:b/>
          <w:sz w:val="20"/>
          <w:szCs w:val="20"/>
        </w:rPr>
      </w:pPr>
      <w:r w:rsidRPr="00D903AB">
        <w:rPr>
          <w:rFonts w:ascii="Arial" w:hAnsi="Arial" w:cs="Arial"/>
          <w:b/>
          <w:sz w:val="20"/>
          <w:szCs w:val="20"/>
        </w:rPr>
        <w:lastRenderedPageBreak/>
        <w:t>OBRAZLOŽENJE  I.</w:t>
      </w:r>
      <w:r w:rsidR="00B9370B">
        <w:rPr>
          <w:rFonts w:ascii="Arial" w:hAnsi="Arial" w:cs="Arial"/>
          <w:b/>
          <w:sz w:val="20"/>
          <w:szCs w:val="20"/>
        </w:rPr>
        <w:t xml:space="preserve"> </w:t>
      </w:r>
      <w:r w:rsidRPr="00D903AB">
        <w:rPr>
          <w:rFonts w:ascii="Arial" w:hAnsi="Arial" w:cs="Arial"/>
          <w:b/>
          <w:sz w:val="20"/>
          <w:szCs w:val="20"/>
        </w:rPr>
        <w:t>IZMJENA I DOPUNA FINANCIJSKOG PLANA ZA 202</w:t>
      </w:r>
      <w:r w:rsidR="00A74791" w:rsidRPr="00D903AB">
        <w:rPr>
          <w:rFonts w:ascii="Arial" w:hAnsi="Arial" w:cs="Arial"/>
          <w:b/>
          <w:sz w:val="20"/>
          <w:szCs w:val="20"/>
        </w:rPr>
        <w:t>5</w:t>
      </w:r>
      <w:r w:rsidRPr="00D903AB">
        <w:rPr>
          <w:rFonts w:ascii="Arial" w:hAnsi="Arial" w:cs="Arial"/>
          <w:b/>
          <w:sz w:val="20"/>
          <w:szCs w:val="20"/>
        </w:rPr>
        <w:t xml:space="preserve">. GODINU </w:t>
      </w:r>
    </w:p>
    <w:p w14:paraId="3F595CCC" w14:textId="77777777" w:rsidR="002E3851" w:rsidRPr="00D903AB" w:rsidRDefault="002E3851" w:rsidP="002E3851">
      <w:pPr>
        <w:rPr>
          <w:rFonts w:ascii="Arial" w:hAnsi="Arial" w:cs="Arial"/>
          <w:bCs/>
          <w:sz w:val="20"/>
          <w:szCs w:val="20"/>
        </w:rPr>
      </w:pPr>
    </w:p>
    <w:p w14:paraId="6249D7A6" w14:textId="714A94B2" w:rsidR="002E3851" w:rsidRPr="00D903AB" w:rsidRDefault="002E3851" w:rsidP="00B9370B">
      <w:pPr>
        <w:jc w:val="both"/>
        <w:rPr>
          <w:rFonts w:ascii="Arial" w:hAnsi="Arial" w:cs="Arial"/>
          <w:bCs/>
          <w:sz w:val="20"/>
          <w:szCs w:val="20"/>
        </w:rPr>
      </w:pPr>
      <w:r w:rsidRPr="00D903AB">
        <w:rPr>
          <w:rFonts w:ascii="Arial" w:hAnsi="Arial" w:cs="Arial"/>
          <w:bCs/>
          <w:sz w:val="20"/>
          <w:szCs w:val="20"/>
        </w:rPr>
        <w:t xml:space="preserve">U I. izmjenama i dopunama financijskog plana </w:t>
      </w:r>
      <w:r w:rsidR="00B9370B">
        <w:rPr>
          <w:rFonts w:ascii="Arial" w:hAnsi="Arial" w:cs="Arial"/>
          <w:bCs/>
          <w:sz w:val="20"/>
          <w:szCs w:val="20"/>
        </w:rPr>
        <w:t xml:space="preserve">Gradske knjižnice Sveti Ivan Zelina </w:t>
      </w:r>
      <w:r w:rsidRPr="00D903AB">
        <w:rPr>
          <w:rFonts w:ascii="Arial" w:hAnsi="Arial" w:cs="Arial"/>
          <w:bCs/>
          <w:sz w:val="20"/>
          <w:szCs w:val="20"/>
        </w:rPr>
        <w:t>planirana je promjena prihoda i rashoda u 202</w:t>
      </w:r>
      <w:r w:rsidR="00DE0880" w:rsidRPr="00D903AB">
        <w:rPr>
          <w:rFonts w:ascii="Arial" w:hAnsi="Arial" w:cs="Arial"/>
          <w:bCs/>
          <w:sz w:val="20"/>
          <w:szCs w:val="20"/>
        </w:rPr>
        <w:t>5</w:t>
      </w:r>
      <w:r w:rsidRPr="00D903AB">
        <w:rPr>
          <w:rFonts w:ascii="Arial" w:hAnsi="Arial" w:cs="Arial"/>
          <w:bCs/>
          <w:sz w:val="20"/>
          <w:szCs w:val="20"/>
        </w:rPr>
        <w:t>.</w:t>
      </w:r>
      <w:r w:rsidR="00B9370B">
        <w:rPr>
          <w:rFonts w:ascii="Arial" w:hAnsi="Arial" w:cs="Arial"/>
          <w:bCs/>
          <w:sz w:val="20"/>
          <w:szCs w:val="20"/>
        </w:rPr>
        <w:t xml:space="preserve"> </w:t>
      </w:r>
      <w:r w:rsidRPr="00D903AB">
        <w:rPr>
          <w:rFonts w:ascii="Arial" w:hAnsi="Arial" w:cs="Arial"/>
          <w:bCs/>
          <w:sz w:val="20"/>
          <w:szCs w:val="20"/>
        </w:rPr>
        <w:t>g</w:t>
      </w:r>
      <w:r w:rsidR="00B9370B">
        <w:rPr>
          <w:rFonts w:ascii="Arial" w:hAnsi="Arial" w:cs="Arial"/>
          <w:bCs/>
          <w:sz w:val="20"/>
          <w:szCs w:val="20"/>
        </w:rPr>
        <w:t xml:space="preserve">odini </w:t>
      </w:r>
      <w:r w:rsidRPr="00D903AB">
        <w:rPr>
          <w:rFonts w:ascii="Arial" w:hAnsi="Arial" w:cs="Arial"/>
          <w:bCs/>
          <w:sz w:val="20"/>
          <w:szCs w:val="20"/>
        </w:rPr>
        <w:t>prema dinamici, visini i namjeni te promjena u realizaciji planiranih tekućih projekata.</w:t>
      </w:r>
    </w:p>
    <w:p w14:paraId="2A70DA1B" w14:textId="77777777" w:rsidR="002E3851" w:rsidRPr="00D903AB" w:rsidRDefault="002E3851" w:rsidP="002E3851">
      <w:pPr>
        <w:rPr>
          <w:rFonts w:ascii="Arial" w:hAnsi="Arial" w:cs="Arial"/>
          <w:b/>
          <w:sz w:val="20"/>
          <w:szCs w:val="20"/>
          <w:u w:val="single"/>
        </w:rPr>
      </w:pPr>
    </w:p>
    <w:p w14:paraId="466C0A89" w14:textId="77777777" w:rsidR="002E3851" w:rsidRPr="00D903AB" w:rsidRDefault="002E3851" w:rsidP="002E3851">
      <w:pPr>
        <w:rPr>
          <w:rFonts w:ascii="Arial" w:hAnsi="Arial" w:cs="Arial"/>
          <w:b/>
          <w:sz w:val="20"/>
          <w:szCs w:val="20"/>
          <w:u w:val="single"/>
        </w:rPr>
      </w:pPr>
      <w:r w:rsidRPr="00D903AB">
        <w:rPr>
          <w:rFonts w:ascii="Arial" w:hAnsi="Arial" w:cs="Arial"/>
          <w:b/>
          <w:sz w:val="20"/>
          <w:szCs w:val="20"/>
          <w:u w:val="single"/>
        </w:rPr>
        <w:t xml:space="preserve">Prihodi </w:t>
      </w:r>
    </w:p>
    <w:p w14:paraId="6EE04957" w14:textId="2065A5F5" w:rsidR="002E3851" w:rsidRPr="00D903AB" w:rsidRDefault="002E3851" w:rsidP="00B9370B">
      <w:pPr>
        <w:ind w:right="-141"/>
        <w:jc w:val="both"/>
        <w:rPr>
          <w:rFonts w:ascii="Arial" w:hAnsi="Arial" w:cs="Arial"/>
          <w:bCs/>
          <w:sz w:val="20"/>
          <w:szCs w:val="20"/>
        </w:rPr>
      </w:pPr>
      <w:r w:rsidRPr="00D903AB">
        <w:rPr>
          <w:rFonts w:ascii="Arial" w:hAnsi="Arial" w:cs="Arial"/>
          <w:bCs/>
          <w:sz w:val="20"/>
          <w:szCs w:val="20"/>
        </w:rPr>
        <w:t>U I. izmjenama i dopunama financijskog plana za 202</w:t>
      </w:r>
      <w:r w:rsidR="00DE0880" w:rsidRPr="00D903AB">
        <w:rPr>
          <w:rFonts w:ascii="Arial" w:hAnsi="Arial" w:cs="Arial"/>
          <w:bCs/>
          <w:sz w:val="20"/>
          <w:szCs w:val="20"/>
        </w:rPr>
        <w:t>5</w:t>
      </w:r>
      <w:r w:rsidRPr="00D903AB">
        <w:rPr>
          <w:rFonts w:ascii="Arial" w:hAnsi="Arial" w:cs="Arial"/>
          <w:bCs/>
          <w:sz w:val="20"/>
          <w:szCs w:val="20"/>
        </w:rPr>
        <w:t>.</w:t>
      </w:r>
      <w:r w:rsidR="00C20F95">
        <w:rPr>
          <w:rFonts w:ascii="Arial" w:hAnsi="Arial" w:cs="Arial"/>
          <w:bCs/>
          <w:sz w:val="20"/>
          <w:szCs w:val="20"/>
        </w:rPr>
        <w:t xml:space="preserve"> </w:t>
      </w:r>
      <w:r w:rsidRPr="00D903AB">
        <w:rPr>
          <w:rFonts w:ascii="Arial" w:hAnsi="Arial" w:cs="Arial"/>
          <w:bCs/>
          <w:sz w:val="20"/>
          <w:szCs w:val="20"/>
        </w:rPr>
        <w:t>godinu u odnosu na dosadašnji financijski plan 202</w:t>
      </w:r>
      <w:r w:rsidR="00DE0880" w:rsidRPr="00D903AB">
        <w:rPr>
          <w:rFonts w:ascii="Arial" w:hAnsi="Arial" w:cs="Arial"/>
          <w:bCs/>
          <w:sz w:val="20"/>
          <w:szCs w:val="20"/>
        </w:rPr>
        <w:t>5</w:t>
      </w:r>
      <w:r w:rsidR="00A74791" w:rsidRPr="00D903AB">
        <w:rPr>
          <w:rFonts w:ascii="Arial" w:hAnsi="Arial" w:cs="Arial"/>
          <w:bCs/>
          <w:sz w:val="20"/>
          <w:szCs w:val="20"/>
        </w:rPr>
        <w:t>.</w:t>
      </w:r>
      <w:r w:rsidR="00CE4919">
        <w:rPr>
          <w:rFonts w:ascii="Arial" w:hAnsi="Arial" w:cs="Arial"/>
          <w:bCs/>
          <w:sz w:val="20"/>
          <w:szCs w:val="20"/>
        </w:rPr>
        <w:t xml:space="preserve"> </w:t>
      </w:r>
      <w:r w:rsidRPr="00D903AB">
        <w:rPr>
          <w:rFonts w:ascii="Arial" w:hAnsi="Arial" w:cs="Arial"/>
          <w:bCs/>
          <w:sz w:val="20"/>
          <w:szCs w:val="20"/>
        </w:rPr>
        <w:t xml:space="preserve">planirano je smanjenje prihoda za </w:t>
      </w:r>
      <w:r w:rsidR="00C20F95">
        <w:rPr>
          <w:rFonts w:ascii="Arial" w:hAnsi="Arial" w:cs="Arial"/>
          <w:bCs/>
          <w:sz w:val="20"/>
          <w:szCs w:val="20"/>
        </w:rPr>
        <w:t>16</w:t>
      </w:r>
      <w:r w:rsidR="00DE0880" w:rsidRPr="00D903AB">
        <w:rPr>
          <w:rFonts w:ascii="Arial" w:hAnsi="Arial" w:cs="Arial"/>
          <w:bCs/>
          <w:sz w:val="20"/>
          <w:szCs w:val="20"/>
        </w:rPr>
        <w:t>.</w:t>
      </w:r>
      <w:r w:rsidR="00C20F95">
        <w:rPr>
          <w:rFonts w:ascii="Arial" w:hAnsi="Arial" w:cs="Arial"/>
          <w:bCs/>
          <w:sz w:val="20"/>
          <w:szCs w:val="20"/>
        </w:rPr>
        <w:t>038</w:t>
      </w:r>
      <w:r w:rsidR="00DE0880" w:rsidRPr="00D903AB">
        <w:rPr>
          <w:rFonts w:ascii="Arial" w:hAnsi="Arial" w:cs="Arial"/>
          <w:bCs/>
          <w:sz w:val="20"/>
          <w:szCs w:val="20"/>
        </w:rPr>
        <w:t>,0</w:t>
      </w:r>
      <w:r w:rsidR="00C20F95">
        <w:rPr>
          <w:rFonts w:ascii="Arial" w:hAnsi="Arial" w:cs="Arial"/>
          <w:bCs/>
          <w:sz w:val="20"/>
          <w:szCs w:val="20"/>
        </w:rPr>
        <w:t>1</w:t>
      </w:r>
      <w:r w:rsidRPr="00D903AB">
        <w:rPr>
          <w:rFonts w:ascii="Arial" w:hAnsi="Arial" w:cs="Arial"/>
          <w:bCs/>
          <w:sz w:val="20"/>
          <w:szCs w:val="20"/>
        </w:rPr>
        <w:t xml:space="preserve"> EUR-a</w:t>
      </w:r>
      <w:r w:rsidR="00224440" w:rsidRPr="00D903AB">
        <w:rPr>
          <w:rFonts w:ascii="Arial" w:hAnsi="Arial" w:cs="Arial"/>
          <w:bCs/>
          <w:sz w:val="20"/>
          <w:szCs w:val="20"/>
        </w:rPr>
        <w:t xml:space="preserve"> od čega se najveći dio odnosi na smanjenje prihoda od </w:t>
      </w:r>
      <w:r w:rsidR="00757B37">
        <w:rPr>
          <w:rFonts w:ascii="Arial" w:hAnsi="Arial" w:cs="Arial"/>
          <w:bCs/>
          <w:sz w:val="20"/>
          <w:szCs w:val="20"/>
        </w:rPr>
        <w:t>nadležnog proračuna za financiranje rashoda poslovanja.</w:t>
      </w:r>
    </w:p>
    <w:p w14:paraId="2D6A8E5C" w14:textId="77777777" w:rsidR="002E3851" w:rsidRPr="00D903AB" w:rsidRDefault="002E3851" w:rsidP="002E3851">
      <w:pPr>
        <w:ind w:right="-141"/>
        <w:rPr>
          <w:rFonts w:ascii="Arial" w:hAnsi="Arial" w:cs="Arial"/>
          <w:b/>
          <w:sz w:val="20"/>
          <w:szCs w:val="20"/>
          <w:u w:val="single"/>
        </w:rPr>
      </w:pPr>
    </w:p>
    <w:p w14:paraId="6BE42DB8" w14:textId="77777777" w:rsidR="002E3851" w:rsidRPr="00D903AB" w:rsidRDefault="002E3851" w:rsidP="002E3851">
      <w:pPr>
        <w:ind w:right="-141"/>
        <w:rPr>
          <w:rFonts w:ascii="Arial" w:hAnsi="Arial" w:cs="Arial"/>
          <w:b/>
          <w:sz w:val="20"/>
          <w:szCs w:val="20"/>
          <w:u w:val="single"/>
        </w:rPr>
      </w:pPr>
      <w:r w:rsidRPr="00D903AB">
        <w:rPr>
          <w:rFonts w:ascii="Arial" w:hAnsi="Arial" w:cs="Arial"/>
          <w:b/>
          <w:sz w:val="20"/>
          <w:szCs w:val="20"/>
          <w:u w:val="single"/>
        </w:rPr>
        <w:t>Rashodi</w:t>
      </w:r>
    </w:p>
    <w:p w14:paraId="448DE71A" w14:textId="723A36D0" w:rsidR="007C2CCC" w:rsidRDefault="00705E5D" w:rsidP="00B9370B">
      <w:pPr>
        <w:ind w:right="-141"/>
        <w:jc w:val="both"/>
        <w:rPr>
          <w:rFonts w:ascii="Arial" w:hAnsi="Arial" w:cs="Arial"/>
          <w:bCs/>
          <w:sz w:val="20"/>
          <w:szCs w:val="20"/>
        </w:rPr>
      </w:pPr>
      <w:r w:rsidRPr="00D903AB">
        <w:rPr>
          <w:rFonts w:ascii="Arial" w:hAnsi="Arial" w:cs="Arial"/>
          <w:bCs/>
          <w:sz w:val="20"/>
          <w:szCs w:val="20"/>
        </w:rPr>
        <w:t>U I. izmjenama i dopunama financijskog plana za 2025.</w:t>
      </w:r>
      <w:r w:rsidR="00757B37">
        <w:rPr>
          <w:rFonts w:ascii="Arial" w:hAnsi="Arial" w:cs="Arial"/>
          <w:bCs/>
          <w:sz w:val="20"/>
          <w:szCs w:val="20"/>
        </w:rPr>
        <w:t xml:space="preserve"> </w:t>
      </w:r>
      <w:r w:rsidRPr="00D903AB">
        <w:rPr>
          <w:rFonts w:ascii="Arial" w:hAnsi="Arial" w:cs="Arial"/>
          <w:bCs/>
          <w:sz w:val="20"/>
          <w:szCs w:val="20"/>
        </w:rPr>
        <w:t>godinu u odnosu na dosadašnji financijski plan 2025.</w:t>
      </w:r>
      <w:r w:rsidR="00757B37">
        <w:rPr>
          <w:rFonts w:ascii="Arial" w:hAnsi="Arial" w:cs="Arial"/>
          <w:bCs/>
          <w:sz w:val="20"/>
          <w:szCs w:val="20"/>
        </w:rPr>
        <w:t xml:space="preserve"> </w:t>
      </w:r>
      <w:r w:rsidRPr="00D903AB">
        <w:rPr>
          <w:rFonts w:ascii="Arial" w:hAnsi="Arial" w:cs="Arial"/>
          <w:bCs/>
          <w:sz w:val="20"/>
          <w:szCs w:val="20"/>
        </w:rPr>
        <w:t>planirano je smanjenje rashoda</w:t>
      </w:r>
      <w:r w:rsidR="007C2CCC">
        <w:rPr>
          <w:rFonts w:ascii="Arial" w:hAnsi="Arial" w:cs="Arial"/>
          <w:bCs/>
          <w:sz w:val="20"/>
          <w:szCs w:val="20"/>
        </w:rPr>
        <w:t xml:space="preserve"> poslovanja</w:t>
      </w:r>
      <w:r w:rsidRPr="00D903AB">
        <w:rPr>
          <w:rFonts w:ascii="Arial" w:hAnsi="Arial" w:cs="Arial"/>
          <w:bCs/>
          <w:sz w:val="20"/>
          <w:szCs w:val="20"/>
        </w:rPr>
        <w:t xml:space="preserve"> za </w:t>
      </w:r>
      <w:r w:rsidR="007C2CCC">
        <w:rPr>
          <w:rFonts w:ascii="Arial" w:hAnsi="Arial" w:cs="Arial"/>
          <w:bCs/>
          <w:sz w:val="20"/>
          <w:szCs w:val="20"/>
        </w:rPr>
        <w:t>15.460,00</w:t>
      </w:r>
      <w:r w:rsidRPr="00D903AB">
        <w:rPr>
          <w:rFonts w:ascii="Arial" w:hAnsi="Arial" w:cs="Arial"/>
          <w:bCs/>
          <w:sz w:val="20"/>
          <w:szCs w:val="20"/>
        </w:rPr>
        <w:t xml:space="preserve"> EUR-a</w:t>
      </w:r>
      <w:r w:rsidR="007C2CCC">
        <w:rPr>
          <w:rFonts w:ascii="Arial" w:hAnsi="Arial" w:cs="Arial"/>
          <w:bCs/>
          <w:sz w:val="20"/>
          <w:szCs w:val="20"/>
        </w:rPr>
        <w:t xml:space="preserve"> te povećanje rashoda za nabavu nefinancijske imovine za 466,00 EUR</w:t>
      </w:r>
      <w:r w:rsidR="0029292A">
        <w:rPr>
          <w:rFonts w:ascii="Arial" w:hAnsi="Arial" w:cs="Arial"/>
          <w:bCs/>
          <w:sz w:val="20"/>
          <w:szCs w:val="20"/>
        </w:rPr>
        <w:t xml:space="preserve"> koje se odnosi na nabavu knjiga.</w:t>
      </w:r>
      <w:r w:rsidRPr="00D903AB">
        <w:rPr>
          <w:rFonts w:ascii="Arial" w:hAnsi="Arial" w:cs="Arial"/>
          <w:bCs/>
          <w:sz w:val="20"/>
          <w:szCs w:val="20"/>
        </w:rPr>
        <w:t xml:space="preserve"> Smanjenje </w:t>
      </w:r>
      <w:r w:rsidR="00436C41">
        <w:rPr>
          <w:rFonts w:ascii="Arial" w:hAnsi="Arial" w:cs="Arial"/>
          <w:bCs/>
          <w:sz w:val="20"/>
          <w:szCs w:val="20"/>
        </w:rPr>
        <w:t xml:space="preserve">rashoda poslovanja </w:t>
      </w:r>
      <w:r w:rsidR="007C2CCC">
        <w:rPr>
          <w:rFonts w:ascii="Arial" w:hAnsi="Arial" w:cs="Arial"/>
          <w:bCs/>
          <w:sz w:val="20"/>
          <w:szCs w:val="20"/>
        </w:rPr>
        <w:t>se najvećim dijelom odnosi na smanjenje rashoda za zaposlene</w:t>
      </w:r>
      <w:r w:rsidR="00436C41">
        <w:rPr>
          <w:rFonts w:ascii="Arial" w:hAnsi="Arial" w:cs="Arial"/>
          <w:bCs/>
          <w:sz w:val="20"/>
          <w:szCs w:val="20"/>
        </w:rPr>
        <w:t xml:space="preserve"> zbog dugotrajnog bolovanja djelatnice </w:t>
      </w:r>
      <w:r w:rsidR="00436C41" w:rsidRPr="000F4D1E">
        <w:rPr>
          <w:rFonts w:ascii="Arial" w:hAnsi="Arial" w:cs="Arial"/>
          <w:bCs/>
          <w:sz w:val="20"/>
          <w:szCs w:val="20"/>
        </w:rPr>
        <w:t>Gradske knjižnice</w:t>
      </w:r>
      <w:r w:rsidR="00205365" w:rsidRPr="000F4D1E">
        <w:rPr>
          <w:rFonts w:ascii="Arial" w:hAnsi="Arial" w:cs="Arial"/>
          <w:bCs/>
          <w:sz w:val="20"/>
          <w:szCs w:val="20"/>
        </w:rPr>
        <w:t xml:space="preserve"> te smanjenje materijalnih </w:t>
      </w:r>
      <w:r w:rsidR="0029292A" w:rsidRPr="000F4D1E">
        <w:rPr>
          <w:rFonts w:ascii="Arial" w:hAnsi="Arial" w:cs="Arial"/>
          <w:bCs/>
          <w:sz w:val="20"/>
          <w:szCs w:val="20"/>
        </w:rPr>
        <w:t>rashoda</w:t>
      </w:r>
      <w:r w:rsidR="00205365" w:rsidRPr="000F4D1E">
        <w:rPr>
          <w:rFonts w:ascii="Arial" w:hAnsi="Arial" w:cs="Arial"/>
          <w:bCs/>
          <w:sz w:val="20"/>
          <w:szCs w:val="20"/>
        </w:rPr>
        <w:t>.</w:t>
      </w:r>
    </w:p>
    <w:p w14:paraId="3BED4651" w14:textId="0981B5BB" w:rsidR="002E3851" w:rsidRPr="00D903AB" w:rsidRDefault="002E3851" w:rsidP="00B9370B">
      <w:pPr>
        <w:ind w:right="-14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DCF7493" w14:textId="77777777" w:rsidR="002E3851" w:rsidRPr="00D903AB" w:rsidRDefault="002E3851" w:rsidP="00B9370B">
      <w:pPr>
        <w:ind w:right="-141"/>
        <w:jc w:val="both"/>
        <w:rPr>
          <w:rFonts w:ascii="Arial" w:hAnsi="Arial" w:cs="Arial"/>
          <w:bCs/>
          <w:sz w:val="20"/>
          <w:szCs w:val="20"/>
        </w:rPr>
      </w:pPr>
    </w:p>
    <w:p w14:paraId="3AB7EC71" w14:textId="77777777" w:rsidR="002E3851" w:rsidRPr="00D903AB" w:rsidRDefault="002E3851" w:rsidP="002E3851">
      <w:pPr>
        <w:ind w:right="-141"/>
        <w:rPr>
          <w:rFonts w:ascii="Arial" w:hAnsi="Arial" w:cs="Arial"/>
          <w:bCs/>
          <w:sz w:val="20"/>
          <w:szCs w:val="20"/>
        </w:rPr>
      </w:pPr>
    </w:p>
    <w:tbl>
      <w:tblPr>
        <w:tblW w:w="1600" w:type="dxa"/>
        <w:tblLook w:val="04A0" w:firstRow="1" w:lastRow="0" w:firstColumn="1" w:lastColumn="0" w:noHBand="0" w:noVBand="1"/>
      </w:tblPr>
      <w:tblGrid>
        <w:gridCol w:w="1600"/>
      </w:tblGrid>
      <w:tr w:rsidR="002E3851" w:rsidRPr="00D903AB" w14:paraId="566686BE" w14:textId="77777777" w:rsidTr="009569DB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67801" w14:textId="77777777" w:rsidR="002E3851" w:rsidRPr="00D903AB" w:rsidRDefault="002E3851" w:rsidP="00956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851" w:rsidRPr="00D903AB" w14:paraId="1F76112E" w14:textId="77777777" w:rsidTr="009569DB">
        <w:trPr>
          <w:trHeight w:val="25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C12B2" w14:textId="77777777" w:rsidR="002E3851" w:rsidRPr="00D903AB" w:rsidRDefault="002E3851" w:rsidP="009569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DD560" w14:textId="66327AD5" w:rsidR="002E3851" w:rsidRPr="00D903AB" w:rsidRDefault="002E3851" w:rsidP="002E3851">
      <w:pPr>
        <w:ind w:right="-141"/>
        <w:jc w:val="center"/>
        <w:rPr>
          <w:rFonts w:ascii="Arial" w:hAnsi="Arial" w:cs="Arial"/>
          <w:bCs/>
          <w:sz w:val="20"/>
          <w:szCs w:val="20"/>
        </w:rPr>
      </w:pPr>
      <w:r w:rsidRPr="00D903AB">
        <w:rPr>
          <w:rFonts w:ascii="Arial" w:hAnsi="Arial" w:cs="Arial"/>
          <w:b/>
          <w:sz w:val="20"/>
          <w:szCs w:val="20"/>
        </w:rPr>
        <w:t xml:space="preserve">            </w:t>
      </w:r>
      <w:r w:rsidR="005855A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="00927084">
        <w:rPr>
          <w:rFonts w:ascii="Arial" w:hAnsi="Arial" w:cs="Arial"/>
          <w:b/>
          <w:sz w:val="20"/>
          <w:szCs w:val="20"/>
        </w:rPr>
        <w:t xml:space="preserve">      </w:t>
      </w:r>
      <w:bookmarkStart w:id="2" w:name="_GoBack"/>
      <w:bookmarkEnd w:id="2"/>
      <w:r w:rsidRPr="00D903AB">
        <w:rPr>
          <w:rFonts w:ascii="Arial" w:hAnsi="Arial" w:cs="Arial"/>
          <w:bCs/>
          <w:sz w:val="20"/>
          <w:szCs w:val="20"/>
        </w:rPr>
        <w:t>Ravnateljica:</w:t>
      </w:r>
    </w:p>
    <w:p w14:paraId="696F782C" w14:textId="7EB56206" w:rsidR="002E3851" w:rsidRPr="00D903AB" w:rsidRDefault="002E3851" w:rsidP="002E3851">
      <w:pPr>
        <w:ind w:right="-141"/>
        <w:jc w:val="center"/>
        <w:rPr>
          <w:rFonts w:ascii="Arial" w:hAnsi="Arial" w:cs="Arial"/>
          <w:bCs/>
          <w:sz w:val="20"/>
          <w:szCs w:val="20"/>
        </w:rPr>
      </w:pPr>
      <w:r w:rsidRPr="00D903AB">
        <w:rPr>
          <w:rFonts w:ascii="Arial" w:hAnsi="Arial" w:cs="Arial"/>
          <w:bCs/>
          <w:sz w:val="20"/>
          <w:szCs w:val="20"/>
        </w:rPr>
        <w:t xml:space="preserve">                            </w:t>
      </w:r>
      <w:r w:rsidR="005855AA"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  <w:r w:rsidR="00927084">
        <w:rPr>
          <w:rFonts w:ascii="Arial" w:hAnsi="Arial" w:cs="Arial"/>
          <w:bCs/>
          <w:sz w:val="20"/>
          <w:szCs w:val="20"/>
        </w:rPr>
        <w:tab/>
      </w:r>
      <w:r w:rsidR="00927084">
        <w:rPr>
          <w:rFonts w:ascii="Arial" w:hAnsi="Arial" w:cs="Arial"/>
          <w:bCs/>
          <w:sz w:val="20"/>
          <w:szCs w:val="20"/>
        </w:rPr>
        <w:tab/>
      </w:r>
      <w:r w:rsidR="005855AA">
        <w:rPr>
          <w:rFonts w:ascii="Arial" w:hAnsi="Arial" w:cs="Arial"/>
          <w:bCs/>
          <w:sz w:val="20"/>
          <w:szCs w:val="20"/>
        </w:rPr>
        <w:t xml:space="preserve">Valentina </w:t>
      </w:r>
      <w:proofErr w:type="spellStart"/>
      <w:r w:rsidR="005855AA">
        <w:rPr>
          <w:rFonts w:ascii="Arial" w:hAnsi="Arial" w:cs="Arial"/>
          <w:bCs/>
          <w:sz w:val="20"/>
          <w:szCs w:val="20"/>
        </w:rPr>
        <w:t>Strelar</w:t>
      </w:r>
      <w:proofErr w:type="spellEnd"/>
      <w:r w:rsidR="005855A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855AA">
        <w:rPr>
          <w:rFonts w:ascii="Arial" w:hAnsi="Arial" w:cs="Arial"/>
          <w:bCs/>
          <w:sz w:val="20"/>
          <w:szCs w:val="20"/>
        </w:rPr>
        <w:t>Dananić</w:t>
      </w:r>
      <w:proofErr w:type="spellEnd"/>
    </w:p>
    <w:p w14:paraId="26878470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089F039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C4BC970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88CA91D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9DE4BC9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50D1A78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E7C2C43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5D5C8CD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622FDD0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1C275E9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EC041CF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D650736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A0CF619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38BA7494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4479524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6450B86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6F5F400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0D57831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C46837E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4096D33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F570BE0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F76323E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08B5394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F39D180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8ECA44B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CD591BA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4F6C66C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5D2AF33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D321A0E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FE5DC68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3792AA9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8726F32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AF2F622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EBAC464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80C259C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9D9C81E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100DAC4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8F2164C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55FC70F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D7D8C39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5DA0424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02E2726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C6724D8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2A0952E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C552AD5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FF614DF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02C7E62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AF5F683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979E28F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0CD1395D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90B5495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7A66E2E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1444614D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08F3C37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58BF4CEA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37914E22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30C498EB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73375EB6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69DE1B71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2086E60B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F0F9E6D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7FF2B53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31677FEF" w14:textId="77777777" w:rsidR="00A918E0" w:rsidRPr="00D903AB" w:rsidRDefault="00A918E0" w:rsidP="00A918E0">
      <w:pPr>
        <w:spacing w:after="0"/>
        <w:contextualSpacing/>
        <w:jc w:val="both"/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p w14:paraId="40363B44" w14:textId="77777777" w:rsidR="00E137C6" w:rsidRPr="00D903AB" w:rsidRDefault="00E137C6" w:rsidP="00D16D1C">
      <w:pPr>
        <w:rPr>
          <w:rFonts w:ascii="Arial" w:hAnsi="Arial" w:cs="Arial"/>
          <w:b/>
          <w:bCs/>
          <w:sz w:val="20"/>
          <w:szCs w:val="20"/>
        </w:rPr>
      </w:pPr>
    </w:p>
    <w:sectPr w:rsidR="00E137C6" w:rsidRPr="00D903AB" w:rsidSect="00522AAD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5368"/>
    <w:multiLevelType w:val="hybridMultilevel"/>
    <w:tmpl w:val="01128CBA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FBF1B83"/>
    <w:multiLevelType w:val="hybridMultilevel"/>
    <w:tmpl w:val="9A90F5EE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050679A"/>
    <w:multiLevelType w:val="hybridMultilevel"/>
    <w:tmpl w:val="9E549950"/>
    <w:lvl w:ilvl="0" w:tplc="97A8A4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04C08"/>
    <w:multiLevelType w:val="hybridMultilevel"/>
    <w:tmpl w:val="3D241054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B265EB9"/>
    <w:multiLevelType w:val="hybridMultilevel"/>
    <w:tmpl w:val="CBCC10D4"/>
    <w:lvl w:ilvl="0" w:tplc="A8788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340FA"/>
    <w:multiLevelType w:val="hybridMultilevel"/>
    <w:tmpl w:val="30209BEC"/>
    <w:lvl w:ilvl="0" w:tplc="CAE08F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21D4F"/>
    <w:multiLevelType w:val="hybridMultilevel"/>
    <w:tmpl w:val="5AEEF9E4"/>
    <w:lvl w:ilvl="0" w:tplc="83EA30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DA75499"/>
    <w:multiLevelType w:val="hybridMultilevel"/>
    <w:tmpl w:val="87A8B1B8"/>
    <w:lvl w:ilvl="0" w:tplc="AFDAB4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A0"/>
    <w:rsid w:val="00013ACA"/>
    <w:rsid w:val="000251B2"/>
    <w:rsid w:val="0003088A"/>
    <w:rsid w:val="00046AF6"/>
    <w:rsid w:val="0006676E"/>
    <w:rsid w:val="000761E8"/>
    <w:rsid w:val="00085E7A"/>
    <w:rsid w:val="000F21D7"/>
    <w:rsid w:val="000F35E1"/>
    <w:rsid w:val="000F4D1E"/>
    <w:rsid w:val="00100448"/>
    <w:rsid w:val="00103654"/>
    <w:rsid w:val="00111D6A"/>
    <w:rsid w:val="00116F65"/>
    <w:rsid w:val="00142D8E"/>
    <w:rsid w:val="00143996"/>
    <w:rsid w:val="00155DA9"/>
    <w:rsid w:val="00157D75"/>
    <w:rsid w:val="00167451"/>
    <w:rsid w:val="00194366"/>
    <w:rsid w:val="001A3089"/>
    <w:rsid w:val="001B3A08"/>
    <w:rsid w:val="001C76D0"/>
    <w:rsid w:val="001D0375"/>
    <w:rsid w:val="001D1F70"/>
    <w:rsid w:val="001D580E"/>
    <w:rsid w:val="001D7223"/>
    <w:rsid w:val="001E4AAD"/>
    <w:rsid w:val="001E4EC9"/>
    <w:rsid w:val="001F5F01"/>
    <w:rsid w:val="001F65AB"/>
    <w:rsid w:val="00205365"/>
    <w:rsid w:val="002154B5"/>
    <w:rsid w:val="00224440"/>
    <w:rsid w:val="00233A94"/>
    <w:rsid w:val="0025273E"/>
    <w:rsid w:val="0025356B"/>
    <w:rsid w:val="00262460"/>
    <w:rsid w:val="00265855"/>
    <w:rsid w:val="0029292A"/>
    <w:rsid w:val="002D1714"/>
    <w:rsid w:val="002D3271"/>
    <w:rsid w:val="002E0CC9"/>
    <w:rsid w:val="002E3851"/>
    <w:rsid w:val="002E3E16"/>
    <w:rsid w:val="00330C0B"/>
    <w:rsid w:val="00352595"/>
    <w:rsid w:val="00355876"/>
    <w:rsid w:val="0037336C"/>
    <w:rsid w:val="003850E0"/>
    <w:rsid w:val="003A0A23"/>
    <w:rsid w:val="003B6D13"/>
    <w:rsid w:val="003C2C67"/>
    <w:rsid w:val="004076E7"/>
    <w:rsid w:val="00416951"/>
    <w:rsid w:val="00416CBD"/>
    <w:rsid w:val="00436C41"/>
    <w:rsid w:val="00437289"/>
    <w:rsid w:val="00442235"/>
    <w:rsid w:val="00442ACE"/>
    <w:rsid w:val="004450EC"/>
    <w:rsid w:val="0045017F"/>
    <w:rsid w:val="00482A3D"/>
    <w:rsid w:val="004C49DE"/>
    <w:rsid w:val="004D2B11"/>
    <w:rsid w:val="005051EE"/>
    <w:rsid w:val="00515CBA"/>
    <w:rsid w:val="00521A02"/>
    <w:rsid w:val="00522AAD"/>
    <w:rsid w:val="00533E27"/>
    <w:rsid w:val="00534E2F"/>
    <w:rsid w:val="0054643C"/>
    <w:rsid w:val="00564FA3"/>
    <w:rsid w:val="00566950"/>
    <w:rsid w:val="005855AA"/>
    <w:rsid w:val="00593D37"/>
    <w:rsid w:val="005C0039"/>
    <w:rsid w:val="005C6D74"/>
    <w:rsid w:val="005F69FE"/>
    <w:rsid w:val="005F743F"/>
    <w:rsid w:val="006079AC"/>
    <w:rsid w:val="006315B8"/>
    <w:rsid w:val="006432D2"/>
    <w:rsid w:val="00655340"/>
    <w:rsid w:val="00687EDF"/>
    <w:rsid w:val="006A45F6"/>
    <w:rsid w:val="006D1546"/>
    <w:rsid w:val="00704EF8"/>
    <w:rsid w:val="00705E5D"/>
    <w:rsid w:val="00706E38"/>
    <w:rsid w:val="00710D2B"/>
    <w:rsid w:val="00712674"/>
    <w:rsid w:val="007144AD"/>
    <w:rsid w:val="00751026"/>
    <w:rsid w:val="007565FD"/>
    <w:rsid w:val="00756C61"/>
    <w:rsid w:val="00757B37"/>
    <w:rsid w:val="007671D1"/>
    <w:rsid w:val="007A7812"/>
    <w:rsid w:val="007C2CCC"/>
    <w:rsid w:val="007C3EE0"/>
    <w:rsid w:val="007E286F"/>
    <w:rsid w:val="007E4FAE"/>
    <w:rsid w:val="007E7B7C"/>
    <w:rsid w:val="007F5907"/>
    <w:rsid w:val="00853937"/>
    <w:rsid w:val="00854377"/>
    <w:rsid w:val="00860F5E"/>
    <w:rsid w:val="00867153"/>
    <w:rsid w:val="008812FF"/>
    <w:rsid w:val="008A7C3E"/>
    <w:rsid w:val="008C4259"/>
    <w:rsid w:val="008D2C63"/>
    <w:rsid w:val="008F7584"/>
    <w:rsid w:val="008F7605"/>
    <w:rsid w:val="00900D37"/>
    <w:rsid w:val="009031CE"/>
    <w:rsid w:val="00927084"/>
    <w:rsid w:val="009308D1"/>
    <w:rsid w:val="0094152C"/>
    <w:rsid w:val="009569DB"/>
    <w:rsid w:val="00975EF4"/>
    <w:rsid w:val="00996B1B"/>
    <w:rsid w:val="009B5DC4"/>
    <w:rsid w:val="009C6882"/>
    <w:rsid w:val="009E3E73"/>
    <w:rsid w:val="009F1EB1"/>
    <w:rsid w:val="00A0287A"/>
    <w:rsid w:val="00A22A92"/>
    <w:rsid w:val="00A34AB8"/>
    <w:rsid w:val="00A374BD"/>
    <w:rsid w:val="00A51863"/>
    <w:rsid w:val="00A55D10"/>
    <w:rsid w:val="00A63616"/>
    <w:rsid w:val="00A6456F"/>
    <w:rsid w:val="00A65F08"/>
    <w:rsid w:val="00A74791"/>
    <w:rsid w:val="00A918E0"/>
    <w:rsid w:val="00A92A6C"/>
    <w:rsid w:val="00AA2C56"/>
    <w:rsid w:val="00AC1664"/>
    <w:rsid w:val="00AF32A4"/>
    <w:rsid w:val="00AF6E64"/>
    <w:rsid w:val="00B07069"/>
    <w:rsid w:val="00B50744"/>
    <w:rsid w:val="00B610D0"/>
    <w:rsid w:val="00B619F7"/>
    <w:rsid w:val="00B636D4"/>
    <w:rsid w:val="00B710CA"/>
    <w:rsid w:val="00B824E2"/>
    <w:rsid w:val="00B9370B"/>
    <w:rsid w:val="00BC53A0"/>
    <w:rsid w:val="00BE616F"/>
    <w:rsid w:val="00C03890"/>
    <w:rsid w:val="00C04ABA"/>
    <w:rsid w:val="00C20F95"/>
    <w:rsid w:val="00C34F16"/>
    <w:rsid w:val="00C620F6"/>
    <w:rsid w:val="00C71AA3"/>
    <w:rsid w:val="00C721BE"/>
    <w:rsid w:val="00C7507D"/>
    <w:rsid w:val="00C76356"/>
    <w:rsid w:val="00C94785"/>
    <w:rsid w:val="00CA1A0D"/>
    <w:rsid w:val="00CA2C8F"/>
    <w:rsid w:val="00CD72EB"/>
    <w:rsid w:val="00CE4919"/>
    <w:rsid w:val="00CF4B89"/>
    <w:rsid w:val="00D1156C"/>
    <w:rsid w:val="00D16D1C"/>
    <w:rsid w:val="00D328FE"/>
    <w:rsid w:val="00D45A4B"/>
    <w:rsid w:val="00D7347A"/>
    <w:rsid w:val="00D903AB"/>
    <w:rsid w:val="00DA4845"/>
    <w:rsid w:val="00DE0880"/>
    <w:rsid w:val="00DE1ECA"/>
    <w:rsid w:val="00E1232D"/>
    <w:rsid w:val="00E12457"/>
    <w:rsid w:val="00E137C6"/>
    <w:rsid w:val="00E368AC"/>
    <w:rsid w:val="00E50B84"/>
    <w:rsid w:val="00E528A0"/>
    <w:rsid w:val="00E529D5"/>
    <w:rsid w:val="00E73B96"/>
    <w:rsid w:val="00E9557E"/>
    <w:rsid w:val="00EA1876"/>
    <w:rsid w:val="00EA1C6A"/>
    <w:rsid w:val="00EA79CD"/>
    <w:rsid w:val="00F01755"/>
    <w:rsid w:val="00F04374"/>
    <w:rsid w:val="00F26A2A"/>
    <w:rsid w:val="00F271E1"/>
    <w:rsid w:val="00F30D08"/>
    <w:rsid w:val="00F31244"/>
    <w:rsid w:val="00F43794"/>
    <w:rsid w:val="00F60E52"/>
    <w:rsid w:val="00F74516"/>
    <w:rsid w:val="00F76C74"/>
    <w:rsid w:val="00F92116"/>
    <w:rsid w:val="00FA7167"/>
    <w:rsid w:val="00FB4F94"/>
    <w:rsid w:val="00FD2EC3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1B39"/>
  <w15:chartTrackingRefBased/>
  <w15:docId w15:val="{CEBF6F49-6349-47E1-9F62-E6F551D4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3A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C5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5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5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5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5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5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5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5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5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5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5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53A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53A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53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53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53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53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5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C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5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C5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53A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C53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53A0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C53A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5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53A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53A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B4F9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B4F94"/>
    <w:rPr>
      <w:color w:val="954F72"/>
      <w:u w:val="single"/>
    </w:rPr>
  </w:style>
  <w:style w:type="paragraph" w:customStyle="1" w:styleId="msonormal0">
    <w:name w:val="msonormal"/>
    <w:basedOn w:val="Normal"/>
    <w:rsid w:val="00FB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68">
    <w:name w:val="xl68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FB4F94"/>
    <w:pPr>
      <w:shd w:val="clear" w:color="000000" w:fill="000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FB4F94"/>
    <w:pPr>
      <w:shd w:val="clear" w:color="000000" w:fill="00008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FB4F94"/>
    <w:pP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FB4F94"/>
    <w:pPr>
      <w:shd w:val="clear" w:color="000000" w:fill="0000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FB4F94"/>
    <w:pP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FB4F94"/>
    <w:pPr>
      <w:shd w:val="clear" w:color="000000" w:fill="9999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FB4F94"/>
    <w:pP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FB4F94"/>
    <w:pPr>
      <w:shd w:val="clear" w:color="000000" w:fill="CCCC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FB4F94"/>
    <w:pP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FB4F94"/>
    <w:pPr>
      <w:shd w:val="clear" w:color="000000" w:fill="FFFF9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FB4F9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80">
    <w:name w:val="xl80"/>
    <w:basedOn w:val="Normal"/>
    <w:rsid w:val="00FB4F94"/>
    <w:pPr>
      <w:shd w:val="clear" w:color="000000" w:fill="3366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FB4F94"/>
    <w:pPr>
      <w:shd w:val="clear" w:color="000000" w:fill="3366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FB4F94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FB4F94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3">
    <w:name w:val="xl63"/>
    <w:basedOn w:val="Normal"/>
    <w:rsid w:val="00F3124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F3124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59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593D3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6E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66D1D-AAC9-4F92-952E-D942391D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Gajger</dc:creator>
  <cp:keywords/>
  <dc:description/>
  <cp:lastModifiedBy>Valentina</cp:lastModifiedBy>
  <cp:revision>5</cp:revision>
  <cp:lastPrinted>2025-09-30T07:29:00Z</cp:lastPrinted>
  <dcterms:created xsi:type="dcterms:W3CDTF">2025-09-30T07:21:00Z</dcterms:created>
  <dcterms:modified xsi:type="dcterms:W3CDTF">2025-09-30T10:36:00Z</dcterms:modified>
</cp:coreProperties>
</file>